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57671" w:rsidP="003705BF">
      <w:pPr>
        <w:jc w:val="center"/>
        <w:rPr>
          <w:rFonts w:eastAsia="Calibri"/>
          <w:sz w:val="22"/>
          <w:szCs w:val="22"/>
        </w:rPr>
      </w:pPr>
      <w:r>
        <w:rPr>
          <w:rFonts w:eastAsia="Calibri"/>
          <w:sz w:val="22"/>
          <w:szCs w:val="22"/>
        </w:rPr>
        <w:t>December 2</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436903">
        <w:rPr>
          <w:sz w:val="20"/>
        </w:rPr>
        <w:t xml:space="preserve"> Parcel at </w:t>
      </w:r>
      <w:r w:rsidR="00EB443A">
        <w:rPr>
          <w:sz w:val="20"/>
        </w:rPr>
        <w:t xml:space="preserve"> </w:t>
      </w:r>
    </w:p>
    <w:p w:rsidR="00EA181B" w:rsidRPr="00AD5766" w:rsidRDefault="00EA181B" w:rsidP="003705BF">
      <w:pPr>
        <w:rPr>
          <w:rFonts w:eastAsia="Calibri"/>
          <w:sz w:val="20"/>
        </w:rPr>
      </w:pPr>
    </w:p>
    <w:tbl>
      <w:tblPr>
        <w:tblStyle w:val="TableGrid"/>
        <w:tblW w:w="7380" w:type="dxa"/>
        <w:tblInd w:w="918" w:type="dxa"/>
        <w:tblLayout w:type="fixed"/>
        <w:tblLook w:val="04A0" w:firstRow="1" w:lastRow="0" w:firstColumn="1" w:lastColumn="0" w:noHBand="0" w:noVBand="1"/>
      </w:tblPr>
      <w:tblGrid>
        <w:gridCol w:w="810"/>
        <w:gridCol w:w="990"/>
        <w:gridCol w:w="1170"/>
        <w:gridCol w:w="1170"/>
        <w:gridCol w:w="900"/>
        <w:gridCol w:w="1170"/>
        <w:gridCol w:w="1170"/>
      </w:tblGrid>
      <w:tr w:rsidR="00275A41" w:rsidRPr="00AD5766" w:rsidTr="00F24FE4">
        <w:tc>
          <w:tcPr>
            <w:tcW w:w="810" w:type="dxa"/>
          </w:tcPr>
          <w:p w:rsidR="00275A41" w:rsidRPr="00AD5766" w:rsidRDefault="00275A41" w:rsidP="00420109">
            <w:pPr>
              <w:tabs>
                <w:tab w:val="left" w:pos="2160"/>
              </w:tabs>
              <w:jc w:val="center"/>
              <w:rPr>
                <w:rFonts w:eastAsia="Calibri"/>
                <w:sz w:val="20"/>
              </w:rPr>
            </w:pPr>
            <w:r w:rsidRPr="00AD5766">
              <w:rPr>
                <w:rFonts w:eastAsia="Calibri"/>
                <w:sz w:val="20"/>
              </w:rPr>
              <w:t>PMA</w:t>
            </w:r>
          </w:p>
        </w:tc>
        <w:tc>
          <w:tcPr>
            <w:tcW w:w="990" w:type="dxa"/>
          </w:tcPr>
          <w:p w:rsidR="00275A41" w:rsidRPr="00AD5766" w:rsidRDefault="00275A41" w:rsidP="00656787">
            <w:pPr>
              <w:tabs>
                <w:tab w:val="left" w:pos="1260"/>
              </w:tabs>
              <w:ind w:right="126"/>
              <w:jc w:val="center"/>
              <w:rPr>
                <w:rFonts w:eastAsia="Calibri"/>
                <w:sz w:val="20"/>
              </w:rPr>
            </w:pPr>
            <w:r>
              <w:rPr>
                <w:rFonts w:eastAsia="Calibri"/>
                <w:sz w:val="20"/>
              </w:rPr>
              <w:t>PMA Size</w:t>
            </w:r>
          </w:p>
        </w:tc>
        <w:tc>
          <w:tcPr>
            <w:tcW w:w="1170" w:type="dxa"/>
          </w:tcPr>
          <w:p w:rsidR="00275A41" w:rsidRPr="00AD5766" w:rsidRDefault="00275A41" w:rsidP="00420109">
            <w:pPr>
              <w:tabs>
                <w:tab w:val="left" w:pos="1260"/>
              </w:tabs>
              <w:ind w:right="126"/>
              <w:jc w:val="center"/>
              <w:rPr>
                <w:rFonts w:eastAsia="Calibri"/>
                <w:sz w:val="20"/>
              </w:rPr>
            </w:pPr>
            <w:r w:rsidRPr="00AD5766">
              <w:rPr>
                <w:rFonts w:eastAsia="Calibri"/>
                <w:sz w:val="20"/>
              </w:rPr>
              <w:t>Parcel #</w:t>
            </w:r>
          </w:p>
        </w:tc>
        <w:tc>
          <w:tcPr>
            <w:tcW w:w="1170" w:type="dxa"/>
          </w:tcPr>
          <w:p w:rsidR="00275A41" w:rsidRPr="00AD5766" w:rsidRDefault="00275A41" w:rsidP="00420109">
            <w:pPr>
              <w:tabs>
                <w:tab w:val="left" w:pos="2232"/>
              </w:tabs>
              <w:jc w:val="center"/>
              <w:rPr>
                <w:rFonts w:eastAsia="Calibri"/>
                <w:sz w:val="20"/>
              </w:rPr>
            </w:pPr>
            <w:r w:rsidRPr="00AD5766">
              <w:rPr>
                <w:rFonts w:eastAsia="Calibri"/>
                <w:sz w:val="20"/>
              </w:rPr>
              <w:t>Address</w:t>
            </w:r>
          </w:p>
        </w:tc>
        <w:tc>
          <w:tcPr>
            <w:tcW w:w="900" w:type="dxa"/>
          </w:tcPr>
          <w:p w:rsidR="00275A41" w:rsidRPr="00AD5766" w:rsidRDefault="00275A41" w:rsidP="00420109">
            <w:pPr>
              <w:tabs>
                <w:tab w:val="left" w:pos="2232"/>
              </w:tabs>
              <w:jc w:val="center"/>
              <w:rPr>
                <w:rFonts w:eastAsia="Calibri"/>
                <w:sz w:val="20"/>
              </w:rPr>
            </w:pPr>
            <w:r w:rsidRPr="00AD5766">
              <w:rPr>
                <w:rFonts w:eastAsia="Calibri"/>
                <w:sz w:val="20"/>
              </w:rPr>
              <w:t>Zoning</w:t>
            </w:r>
          </w:p>
        </w:tc>
        <w:tc>
          <w:tcPr>
            <w:tcW w:w="1170" w:type="dxa"/>
          </w:tcPr>
          <w:p w:rsidR="00275A41" w:rsidRPr="00AD5766" w:rsidRDefault="00275A41"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c>
          <w:tcPr>
            <w:tcW w:w="1170" w:type="dxa"/>
          </w:tcPr>
          <w:p w:rsidR="00275A41" w:rsidRDefault="00275A41" w:rsidP="00275A41">
            <w:pPr>
              <w:tabs>
                <w:tab w:val="left" w:pos="2232"/>
              </w:tabs>
              <w:rPr>
                <w:rFonts w:eastAsia="Calibri"/>
                <w:sz w:val="20"/>
              </w:rPr>
            </w:pPr>
            <w:r>
              <w:rPr>
                <w:rFonts w:eastAsia="Calibri"/>
                <w:sz w:val="20"/>
              </w:rPr>
              <w:t>Lat/. Long.</w:t>
            </w:r>
          </w:p>
        </w:tc>
      </w:tr>
      <w:tr w:rsidR="00275A41" w:rsidRPr="00AD5766" w:rsidTr="00F24FE4">
        <w:trPr>
          <w:trHeight w:val="278"/>
        </w:trPr>
        <w:tc>
          <w:tcPr>
            <w:tcW w:w="810" w:type="dxa"/>
          </w:tcPr>
          <w:p w:rsidR="00275A41" w:rsidRDefault="00275A41" w:rsidP="00420109">
            <w:pPr>
              <w:tabs>
                <w:tab w:val="left" w:pos="1260"/>
              </w:tabs>
              <w:jc w:val="center"/>
              <w:rPr>
                <w:rFonts w:eastAsia="Calibri"/>
                <w:sz w:val="16"/>
                <w:szCs w:val="16"/>
              </w:rPr>
            </w:pPr>
            <w:r>
              <w:rPr>
                <w:rFonts w:eastAsia="Calibri"/>
                <w:sz w:val="16"/>
                <w:szCs w:val="16"/>
              </w:rPr>
              <w:t>69</w:t>
            </w:r>
          </w:p>
        </w:tc>
        <w:tc>
          <w:tcPr>
            <w:tcW w:w="990" w:type="dxa"/>
          </w:tcPr>
          <w:p w:rsidR="00275A41" w:rsidRDefault="00275A41" w:rsidP="009A4616">
            <w:pPr>
              <w:tabs>
                <w:tab w:val="left" w:pos="1260"/>
              </w:tabs>
              <w:ind w:right="126"/>
              <w:rPr>
                <w:rFonts w:eastAsia="Calibri"/>
                <w:sz w:val="16"/>
                <w:szCs w:val="16"/>
              </w:rPr>
            </w:pPr>
            <w:r>
              <w:rPr>
                <w:rFonts w:eastAsia="Calibri"/>
                <w:sz w:val="16"/>
                <w:szCs w:val="16"/>
              </w:rPr>
              <w:t>2,100sf</w:t>
            </w:r>
          </w:p>
        </w:tc>
        <w:tc>
          <w:tcPr>
            <w:tcW w:w="1170" w:type="dxa"/>
          </w:tcPr>
          <w:p w:rsidR="00275A41" w:rsidRDefault="00275A41" w:rsidP="00436903">
            <w:pPr>
              <w:tabs>
                <w:tab w:val="left" w:pos="1260"/>
              </w:tabs>
              <w:rPr>
                <w:rFonts w:eastAsia="Calibri"/>
                <w:sz w:val="16"/>
                <w:szCs w:val="16"/>
              </w:rPr>
            </w:pPr>
            <w:r>
              <w:rPr>
                <w:rFonts w:eastAsia="Calibri"/>
                <w:sz w:val="16"/>
                <w:szCs w:val="16"/>
              </w:rPr>
              <w:t>772110-0006</w:t>
            </w:r>
          </w:p>
        </w:tc>
        <w:tc>
          <w:tcPr>
            <w:tcW w:w="1170" w:type="dxa"/>
          </w:tcPr>
          <w:p w:rsidR="00275A41" w:rsidRPr="00EA181B" w:rsidRDefault="00275A41" w:rsidP="00420109">
            <w:pPr>
              <w:tabs>
                <w:tab w:val="left" w:pos="2232"/>
              </w:tabs>
              <w:jc w:val="center"/>
              <w:rPr>
                <w:sz w:val="16"/>
                <w:szCs w:val="16"/>
              </w:rPr>
            </w:pPr>
            <w:r>
              <w:rPr>
                <w:sz w:val="16"/>
                <w:szCs w:val="16"/>
              </w:rPr>
              <w:t>4502 Midvale Ave N</w:t>
            </w:r>
            <w:r w:rsidR="00695D2F">
              <w:rPr>
                <w:sz w:val="16"/>
                <w:szCs w:val="16"/>
              </w:rPr>
              <w:t xml:space="preserve">, 98103 </w:t>
            </w:r>
          </w:p>
        </w:tc>
        <w:tc>
          <w:tcPr>
            <w:tcW w:w="900" w:type="dxa"/>
          </w:tcPr>
          <w:p w:rsidR="00275A41" w:rsidRDefault="00275A41" w:rsidP="007879CB">
            <w:pPr>
              <w:tabs>
                <w:tab w:val="left" w:pos="2232"/>
              </w:tabs>
              <w:jc w:val="center"/>
              <w:rPr>
                <w:rFonts w:eastAsia="Calibri"/>
                <w:sz w:val="16"/>
                <w:szCs w:val="16"/>
              </w:rPr>
            </w:pPr>
            <w:r>
              <w:rPr>
                <w:rFonts w:eastAsia="Calibri"/>
                <w:sz w:val="16"/>
                <w:szCs w:val="16"/>
              </w:rPr>
              <w:t>LR 2</w:t>
            </w:r>
          </w:p>
        </w:tc>
        <w:tc>
          <w:tcPr>
            <w:tcW w:w="1170" w:type="dxa"/>
          </w:tcPr>
          <w:p w:rsidR="00275A41" w:rsidRPr="00EA181B" w:rsidRDefault="00F24FE4" w:rsidP="0052033C">
            <w:pPr>
              <w:tabs>
                <w:tab w:val="left" w:pos="2232"/>
              </w:tabs>
              <w:jc w:val="center"/>
              <w:rPr>
                <w:rFonts w:eastAsia="Calibri"/>
                <w:sz w:val="14"/>
                <w:szCs w:val="14"/>
              </w:rPr>
            </w:pPr>
            <w:r>
              <w:rPr>
                <w:rFonts w:eastAsia="Calibri"/>
                <w:sz w:val="14"/>
                <w:szCs w:val="14"/>
              </w:rPr>
              <w:t>$75,000- $100,000</w:t>
            </w:r>
            <w:r w:rsidR="00275A41">
              <w:rPr>
                <w:rFonts w:eastAsia="Calibri"/>
                <w:sz w:val="14"/>
                <w:szCs w:val="14"/>
              </w:rPr>
              <w:t xml:space="preserve"> </w:t>
            </w:r>
          </w:p>
        </w:tc>
        <w:tc>
          <w:tcPr>
            <w:tcW w:w="1170" w:type="dxa"/>
          </w:tcPr>
          <w:p w:rsidR="00275A41" w:rsidRDefault="00275A41" w:rsidP="00275A41">
            <w:pPr>
              <w:tabs>
                <w:tab w:val="left" w:pos="2232"/>
              </w:tabs>
              <w:rPr>
                <w:rFonts w:eastAsia="Calibri"/>
                <w:sz w:val="14"/>
                <w:szCs w:val="14"/>
              </w:rPr>
            </w:pPr>
            <w:r w:rsidRPr="00275A41">
              <w:rPr>
                <w:rFonts w:eastAsia="Calibri"/>
                <w:sz w:val="14"/>
                <w:szCs w:val="14"/>
              </w:rPr>
              <w:t>47.661404</w:t>
            </w:r>
          </w:p>
          <w:p w:rsidR="00275A41" w:rsidRDefault="00275A41" w:rsidP="00275A41">
            <w:pPr>
              <w:tabs>
                <w:tab w:val="left" w:pos="2232"/>
              </w:tabs>
              <w:rPr>
                <w:rFonts w:eastAsia="Calibri"/>
                <w:sz w:val="14"/>
                <w:szCs w:val="14"/>
              </w:rPr>
            </w:pPr>
            <w:r w:rsidRPr="00275A41">
              <w:rPr>
                <w:rFonts w:eastAsia="Calibri"/>
                <w:sz w:val="14"/>
                <w:szCs w:val="14"/>
              </w:rPr>
              <w:t>-122.343790</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Pr="00F5681A" w:rsidRDefault="0094086C" w:rsidP="0094086C">
      <w:pPr>
        <w:rPr>
          <w:rFonts w:eastAsia="Calibri"/>
          <w:b/>
          <w:sz w:val="20"/>
        </w:rPr>
      </w:pPr>
      <w:r>
        <w:rPr>
          <w:rFonts w:eastAsia="Calibri"/>
          <w:b/>
          <w:noProof/>
          <w:sz w:val="20"/>
        </w:rPr>
        <w:t>Map:</w:t>
      </w:r>
      <w:r w:rsidR="007879CB">
        <w:rPr>
          <w:rFonts w:eastAsia="Calibri"/>
          <w:b/>
          <w:sz w:val="20"/>
        </w:rPr>
        <w:t xml:space="preserve"> </w:t>
      </w:r>
    </w:p>
    <w:p w:rsidR="0094086C" w:rsidRDefault="00F24FE4" w:rsidP="003705BF">
      <w:pPr>
        <w:rPr>
          <w:rFonts w:eastAsia="Calibri"/>
          <w:b/>
          <w:noProof/>
          <w:sz w:val="20"/>
        </w:rPr>
      </w:pPr>
      <w:r>
        <w:rPr>
          <w:rFonts w:eastAsia="Calibri"/>
          <w:b/>
          <w:noProof/>
          <w:sz w:val="20"/>
        </w:rPr>
        <mc:AlternateContent>
          <mc:Choice Requires="wps">
            <w:drawing>
              <wp:anchor distT="0" distB="0" distL="114300" distR="114300" simplePos="0" relativeHeight="251666432" behindDoc="0" locked="0" layoutInCell="1" allowOverlap="1" wp14:anchorId="321B9DD7" wp14:editId="6882FE05">
                <wp:simplePos x="0" y="0"/>
                <wp:positionH relativeFrom="column">
                  <wp:posOffset>2326640</wp:posOffset>
                </wp:positionH>
                <wp:positionV relativeFrom="paragraph">
                  <wp:posOffset>1059180</wp:posOffset>
                </wp:positionV>
                <wp:extent cx="1016635" cy="941070"/>
                <wp:effectExtent l="38100" t="19050" r="31115" b="49530"/>
                <wp:wrapNone/>
                <wp:docPr id="3" name="Straight Arrow Connector 3"/>
                <wp:cNvGraphicFramePr/>
                <a:graphic xmlns:a="http://schemas.openxmlformats.org/drawingml/2006/main">
                  <a:graphicData uri="http://schemas.microsoft.com/office/word/2010/wordprocessingShape">
                    <wps:wsp>
                      <wps:cNvCnPr/>
                      <wps:spPr>
                        <a:xfrm flipH="1">
                          <a:off x="0" y="0"/>
                          <a:ext cx="1016635" cy="94107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3.2pt;margin-top:83.4pt;width:80.05pt;height:74.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" strokecolor="#4579b8 [3044]" strokeweight="2.25pt">
                <v:stroke endarrow="open"/>
              </v:shape>
            </w:pict>
          </mc:Fallback>
        </mc:AlternateContent>
      </w:r>
      <w:r>
        <w:rPr>
          <w:rFonts w:eastAsia="Calibri"/>
          <w:b/>
          <w:noProof/>
          <w:sz w:val="20"/>
        </w:rPr>
        <mc:AlternateContent>
          <mc:Choice Requires="wps">
            <w:drawing>
              <wp:anchor distT="0" distB="0" distL="114300" distR="114300" simplePos="0" relativeHeight="251667456" behindDoc="0" locked="0" layoutInCell="1" allowOverlap="1" wp14:anchorId="597C130E" wp14:editId="07F3E16C">
                <wp:simplePos x="0" y="0"/>
                <wp:positionH relativeFrom="column">
                  <wp:posOffset>1842448</wp:posOffset>
                </wp:positionH>
                <wp:positionV relativeFrom="paragraph">
                  <wp:posOffset>1687593</wp:posOffset>
                </wp:positionV>
                <wp:extent cx="620973" cy="457200"/>
                <wp:effectExtent l="19050" t="19050" r="46355" b="38100"/>
                <wp:wrapNone/>
                <wp:docPr id="22" name="Freeform 22"/>
                <wp:cNvGraphicFramePr/>
                <a:graphic xmlns:a="http://schemas.openxmlformats.org/drawingml/2006/main">
                  <a:graphicData uri="http://schemas.microsoft.com/office/word/2010/wordprocessingShape">
                    <wps:wsp>
                      <wps:cNvSpPr/>
                      <wps:spPr>
                        <a:xfrm>
                          <a:off x="0" y="0"/>
                          <a:ext cx="620973" cy="457200"/>
                        </a:xfrm>
                        <a:custGeom>
                          <a:avLst/>
                          <a:gdLst>
                            <a:gd name="connsiteX0" fmla="*/ 6824 w 620973"/>
                            <a:gd name="connsiteY0" fmla="*/ 0 h 457200"/>
                            <a:gd name="connsiteX1" fmla="*/ 0 w 620973"/>
                            <a:gd name="connsiteY1" fmla="*/ 429905 h 457200"/>
                            <a:gd name="connsiteX2" fmla="*/ 620973 w 620973"/>
                            <a:gd name="connsiteY2" fmla="*/ 457200 h 457200"/>
                            <a:gd name="connsiteX3" fmla="*/ 6824 w 620973"/>
                            <a:gd name="connsiteY3" fmla="*/ 0 h 457200"/>
                          </a:gdLst>
                          <a:ahLst/>
                          <a:cxnLst>
                            <a:cxn ang="0">
                              <a:pos x="connsiteX0" y="connsiteY0"/>
                            </a:cxn>
                            <a:cxn ang="0">
                              <a:pos x="connsiteX1" y="connsiteY1"/>
                            </a:cxn>
                            <a:cxn ang="0">
                              <a:pos x="connsiteX2" y="connsiteY2"/>
                            </a:cxn>
                            <a:cxn ang="0">
                              <a:pos x="connsiteX3" y="connsiteY3"/>
                            </a:cxn>
                          </a:cxnLst>
                          <a:rect l="l" t="t" r="r" b="b"/>
                          <a:pathLst>
                            <a:path w="620973" h="457200">
                              <a:moveTo>
                                <a:pt x="6824" y="0"/>
                              </a:moveTo>
                              <a:lnTo>
                                <a:pt x="0" y="429905"/>
                              </a:lnTo>
                              <a:lnTo>
                                <a:pt x="620973" y="457200"/>
                              </a:lnTo>
                              <a:lnTo>
                                <a:pt x="6824" y="0"/>
                              </a:lnTo>
                              <a:close/>
                            </a:path>
                          </a:pathLst>
                        </a:cu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2" o:spid="_x0000_s1026" style="position:absolute;margin-left:145.05pt;margin-top:132.9pt;width:48.9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620973,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" path="m6824,l,429905r620973,27295l6824,xe" filled="f" strokecolor="#243f60 [1604]" strokeweight="4.5pt">
                <v:path arrowok="t" o:connecttype="custom" o:connectlocs="6824,0;0,429905;620973,457200;6824,0" o:connectangles="0,0,0,0"/>
              </v:shape>
            </w:pict>
          </mc:Fallback>
        </mc:AlternateContent>
      </w:r>
      <w:r w:rsidR="00E5179D">
        <w:rPr>
          <w:rFonts w:eastAsia="Calibri"/>
          <w:b/>
          <w:noProof/>
          <w:sz w:val="20"/>
        </w:rPr>
        <mc:AlternateContent>
          <mc:Choice Requires="wps">
            <w:drawing>
              <wp:anchor distT="0" distB="0" distL="114300" distR="114300" simplePos="0" relativeHeight="251663360" behindDoc="0" locked="0" layoutInCell="1" allowOverlap="1" wp14:anchorId="68A83331" wp14:editId="17C0DB69">
                <wp:simplePos x="0" y="0"/>
                <wp:positionH relativeFrom="column">
                  <wp:posOffset>3277813</wp:posOffset>
                </wp:positionH>
                <wp:positionV relativeFrom="paragraph">
                  <wp:posOffset>822136</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7879CB">
                            <w:r>
                              <w:t xml:space="preserve">PMA </w:t>
                            </w:r>
                            <w:r w:rsidR="00436903">
                              <w:t>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8.1pt;margin-top:64.75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" fillcolor="white [3201]" strokeweight=".5pt">
                <v:textbox>
                  <w:txbxContent>
                    <w:p w:rsidR="00BF234A" w:rsidRDefault="007879CB">
                      <w:r>
                        <w:t xml:space="preserve">PMA </w:t>
                      </w:r>
                      <w:r w:rsidR="00436903">
                        <w:t>69</w:t>
                      </w:r>
                    </w:p>
                  </w:txbxContent>
                </v:textbox>
              </v:shape>
            </w:pict>
          </mc:Fallback>
        </mc:AlternateContent>
      </w:r>
      <w:r w:rsidR="00436903">
        <w:rPr>
          <w:noProof/>
        </w:rPr>
        <w:drawing>
          <wp:inline distT="0" distB="0" distL="0" distR="0" wp14:anchorId="1EA2B13E" wp14:editId="62765EB4">
            <wp:extent cx="4428699" cy="371011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30594" cy="3711698"/>
                    </a:xfrm>
                    <a:prstGeom prst="rect">
                      <a:avLst/>
                    </a:prstGeom>
                  </pic:spPr>
                </pic:pic>
              </a:graphicData>
            </a:graphic>
          </wp:inline>
        </w:drawing>
      </w:r>
    </w:p>
    <w:p w:rsidR="003705BF" w:rsidRDefault="003705BF" w:rsidP="00E5179D">
      <w:pPr>
        <w:rPr>
          <w:rFonts w:eastAsia="Calibri"/>
          <w:b/>
          <w:noProof/>
          <w:sz w:val="20"/>
        </w:rPr>
      </w:pP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Default="00695D2F" w:rsidP="00283CD4">
      <w:pPr>
        <w:autoSpaceDE w:val="0"/>
        <w:autoSpaceDN w:val="0"/>
        <w:adjustRightInd w:val="0"/>
        <w:rPr>
          <w:sz w:val="20"/>
        </w:rPr>
      </w:pPr>
      <w:r>
        <w:rPr>
          <w:sz w:val="20"/>
        </w:rPr>
        <w:t xml:space="preserve">7/10/1930, </w:t>
      </w:r>
      <w:hyperlink r:id="rId10" w:history="1">
        <w:r w:rsidRPr="00E5179D">
          <w:rPr>
            <w:rStyle w:val="Hyperlink"/>
            <w:sz w:val="20"/>
          </w:rPr>
          <w:t>Ordinance 59719</w:t>
        </w:r>
        <w:r w:rsidR="00E5179D" w:rsidRPr="00E5179D">
          <w:rPr>
            <w:rStyle w:val="Hyperlink"/>
            <w:sz w:val="20"/>
          </w:rPr>
          <w:t xml:space="preserve"> </w:t>
        </w:r>
      </w:hyperlink>
      <w:r w:rsidR="00E5179D">
        <w:rPr>
          <w:sz w:val="20"/>
        </w:rPr>
        <w:t xml:space="preserve">   </w:t>
      </w:r>
      <w:r w:rsidR="00E5179D" w:rsidRPr="00E5179D">
        <w:rPr>
          <w:sz w:val="20"/>
        </w:rPr>
        <w:t xml:space="preserve">An ordinance providing for the laying off, opening, widening, extending and establishing of a public street and highway to be known as Aurora Avenue, from Broad Street to Hillside Place, and Aurora Avenue from North 36th Street to West Green Lake Way at North 65th Street; West Green Lake Way, between North 65th Street and Woodland Park Avenue; Lynn Place, from the intersection of Aurora Avenue as established herein and Lynn Street, southeasterly to an intersection with Dexter Avenue near Crockett Street; 6th Avenue North, between Halladay Street and McGraw Street; Hillside Place, between Aurora Avenue as established herein and Halladay Street; Ray Street, from 4th Avenue North to Aurora Avenue as established herein; of a public street and highway to be known as Linden Place, from Aurora Avenue north of North 36th Street northwesterly to Fremont Avenue south of North 39th Street; of a public street and highway to be known as Whitman Place, from Aurora Avenue; north of North 36th Street, northeasterly to Stone Way north of North 39th Street; of a public street and highway to be known as Greenwood Place, from Aurora Avenue and Allen Place northwesterly to Linden Avenue and North 46th Street; of a public street and highway to be known as Woodland Place, from Aurora Avenue and Allen Place northeasterly to Stone Way and North 50th Street; of a public street and highway to be known as Midvale Place, from North 46th Street and Woodland Park Avenue southeasterly to North 45th Street and of North 46th Street at Stone Avenue; providing for the changing and establishing of the curb grades of the above named streets, avenues and places, and of Aloha Street from 6th Avenue North to Dexter Avenue; Ward Street, Prospect Street and Highland Drive, each from 6th Avenue North to Aurora Avenue as established herein; North 38th Street, </w:t>
      </w:r>
      <w:r w:rsidR="00E5179D" w:rsidRPr="00E5179D">
        <w:rPr>
          <w:sz w:val="20"/>
        </w:rPr>
        <w:lastRenderedPageBreak/>
        <w:t>from Linden Avenue to Whitman Avenue; Whitman Avenue between North 36th Street and North 39th Street; Albion Place, from North 38th Street to North 39th Street; Winslow Place between Allen Place and North 45th Street; of North 46th Street, between Fremont Avenue and Woodland Park Avenue; Linden Avenue and Whitman Avenue, each between North 45th Street and North 47th Street; and North 50th Street, from Fremont Avenue to Whitman Avenue; providing for the condemnation appropriation, taking and damaging of land and other property necessary therefor; and for the making of the necessary slopes for cuts and fills upon the property abutting upon said streets, avenues and places; providing for the condemnation, appropriation and taking of land and other property in fee simple for general municipal purposes; providing for the changing of the use of certain portions of West Green Lake Way, used for park and parkway purposes, from such use to a commercial use; providing that the entire cost of such improvement shall be paid by special assessment upon the property specially benefited, or from such fund as the City Council of the City of Seattle may direct, except as herein otherwise provided, or by both special assessment and from such fund; and providing for the changing of the names of certain streets and avenues.</w:t>
      </w:r>
    </w:p>
    <w:p w:rsidR="008E53C5" w:rsidRPr="002B08B0" w:rsidRDefault="008E53C5" w:rsidP="00283CD4">
      <w:pPr>
        <w:autoSpaceDE w:val="0"/>
        <w:autoSpaceDN w:val="0"/>
        <w:adjustRightInd w:val="0"/>
        <w:rPr>
          <w:sz w:val="20"/>
        </w:rPr>
      </w:pPr>
    </w:p>
    <w:p w:rsidR="00283CD4" w:rsidRPr="002B08B0" w:rsidRDefault="008E53C5" w:rsidP="00283CD4">
      <w:pPr>
        <w:autoSpaceDE w:val="0"/>
        <w:autoSpaceDN w:val="0"/>
        <w:adjustRightInd w:val="0"/>
        <w:rPr>
          <w:rFonts w:eastAsia="Calibri"/>
          <w:b/>
          <w:sz w:val="20"/>
        </w:rPr>
      </w:pPr>
      <w:r>
        <w:rPr>
          <w:sz w:val="20"/>
        </w:rPr>
        <w:t xml:space="preserve">Portion laid off for public street Midvale Place </w:t>
      </w:r>
      <w:r>
        <w:rPr>
          <w:noProof/>
        </w:rPr>
        <w:drawing>
          <wp:inline distT="0" distB="0" distL="0" distR="0" wp14:anchorId="02C87A45" wp14:editId="4DC04DB5">
            <wp:extent cx="5943600" cy="375031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750310"/>
                    </a:xfrm>
                    <a:prstGeom prst="rect">
                      <a:avLst/>
                    </a:prstGeom>
                  </pic:spPr>
                </pic:pic>
              </a:graphicData>
            </a:graphic>
          </wp:inline>
        </w:drawing>
      </w:r>
    </w:p>
    <w:p w:rsidR="00283CD4" w:rsidRDefault="00CF5EBD" w:rsidP="00283CD4">
      <w:pPr>
        <w:rPr>
          <w:rFonts w:eastAsia="Calibri"/>
          <w:sz w:val="20"/>
        </w:rPr>
      </w:pPr>
      <w:r>
        <w:rPr>
          <w:rFonts w:eastAsia="Calibri"/>
          <w:sz w:val="20"/>
        </w:rPr>
        <w:t xml:space="preserve">10/30/1914 </w:t>
      </w:r>
      <w:hyperlink r:id="rId12" w:history="1">
        <w:r w:rsidRPr="00CF5EBD">
          <w:rPr>
            <w:rStyle w:val="Hyperlink"/>
            <w:rFonts w:eastAsia="Calibri"/>
            <w:sz w:val="20"/>
          </w:rPr>
          <w:t>Ordinance 33874</w:t>
        </w:r>
      </w:hyperlink>
      <w:r>
        <w:rPr>
          <w:rFonts w:eastAsia="Calibri"/>
          <w:sz w:val="20"/>
        </w:rPr>
        <w:t xml:space="preserve">  </w:t>
      </w:r>
      <w:r w:rsidR="005A19FF">
        <w:rPr>
          <w:rFonts w:eastAsia="Calibri"/>
          <w:sz w:val="20"/>
        </w:rPr>
        <w:t>An O</w:t>
      </w:r>
      <w:r w:rsidRPr="00CF5EBD">
        <w:rPr>
          <w:rFonts w:eastAsia="Calibri"/>
          <w:sz w:val="20"/>
        </w:rPr>
        <w:t>rdinance vacating a portion of Midvale Avenue on the petition of F. M. Muldoon, and others.</w:t>
      </w:r>
    </w:p>
    <w:p w:rsidR="00CF5EBD" w:rsidRPr="002B08B0" w:rsidRDefault="00CF5EBD"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00822841">
        <w:rPr>
          <w:sz w:val="20"/>
        </w:rPr>
        <w:t xml:space="preserve"> </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28475B">
        <w:rPr>
          <w:rFonts w:eastAsia="Calibri"/>
          <w:sz w:val="20"/>
        </w:rPr>
        <w:t>Street fund</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r w:rsidRPr="00F97478">
        <w:rPr>
          <w:rFonts w:eastAsia="Calibri"/>
          <w:sz w:val="20"/>
        </w:rPr>
        <w:t xml:space="preserve">FAS determines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r w:rsidR="00CE5107">
        <w:rPr>
          <w:rFonts w:eastAsia="Calibri"/>
          <w:sz w:val="20"/>
        </w:rPr>
        <w:t>.</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r w:rsidR="00CE5107">
        <w:rPr>
          <w:rFonts w:eastAsia="Calibri"/>
          <w:sz w:val="20"/>
        </w:rPr>
        <w:t>.</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r w:rsidR="00CE5107">
        <w:rPr>
          <w:rFonts w:eastAsia="Calibri"/>
          <w:sz w:val="20"/>
        </w:rPr>
        <w:t>.</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28475B" w:rsidRDefault="00F97478" w:rsidP="0028475B">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8E53C5">
        <w:rPr>
          <w:rFonts w:eastAsia="Calibri"/>
          <w:sz w:val="20"/>
        </w:rPr>
        <w:t>n $50</w:t>
      </w:r>
      <w:r w:rsidR="0052033C">
        <w:rPr>
          <w:rFonts w:eastAsia="Calibri"/>
          <w:sz w:val="20"/>
        </w:rPr>
        <w:t xml:space="preserve">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w:t>
      </w:r>
      <w:r w:rsidR="008E53C5">
        <w:rPr>
          <w:rFonts w:eastAsia="Calibri"/>
          <w:sz w:val="20"/>
        </w:rPr>
        <w:t>he property is a triangle shape</w:t>
      </w:r>
      <w:r w:rsidR="0028475B">
        <w:rPr>
          <w:rFonts w:eastAsia="Calibri"/>
          <w:sz w:val="20"/>
        </w:rPr>
        <w:t>.</w:t>
      </w:r>
    </w:p>
    <w:p w:rsidR="00F97478" w:rsidRPr="00F97478" w:rsidRDefault="00365CEE" w:rsidP="00F97478">
      <w:pPr>
        <w:numPr>
          <w:ilvl w:val="1"/>
          <w:numId w:val="3"/>
        </w:numPr>
        <w:rPr>
          <w:rFonts w:eastAsia="Calibri"/>
          <w:sz w:val="20"/>
        </w:rPr>
      </w:pPr>
      <w:r>
        <w:rPr>
          <w:rFonts w:eastAsia="Calibri"/>
          <w:sz w:val="20"/>
        </w:rPr>
        <w:t xml:space="preserve">The property </w:t>
      </w:r>
      <w:r w:rsidR="008E53C5">
        <w:rPr>
          <w:rFonts w:eastAsia="Calibri"/>
          <w:sz w:val="20"/>
        </w:rPr>
        <w:t xml:space="preserve">has a small developable portion to support one </w:t>
      </w:r>
      <w:r w:rsidR="00CE5107">
        <w:rPr>
          <w:rFonts w:eastAsia="Calibri"/>
          <w:sz w:val="20"/>
        </w:rPr>
        <w:t xml:space="preserve">housing </w:t>
      </w:r>
      <w:r w:rsidR="008E53C5">
        <w:rPr>
          <w:rFonts w:eastAsia="Calibri"/>
          <w:sz w:val="20"/>
        </w:rPr>
        <w:t>unit.</w:t>
      </w:r>
      <w:r>
        <w:rPr>
          <w:rFonts w:eastAsia="Calibri"/>
          <w:sz w:val="20"/>
        </w:rPr>
        <w:t xml:space="preserv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w:t>
      </w:r>
      <w:r w:rsidR="008E53C5">
        <w:rPr>
          <w:rFonts w:eastAsia="Calibri"/>
          <w:sz w:val="20"/>
        </w:rPr>
        <w:t>has existing trees and landscaping that are currently maintained by Seattle Department of Transportation.</w:t>
      </w:r>
      <w:bookmarkStart w:id="0" w:name="_GoBack"/>
      <w:bookmarkEnd w:id="0"/>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8475B">
        <w:rPr>
          <w:rFonts w:eastAsia="Calibri"/>
          <w:sz w:val="20"/>
        </w:rPr>
        <w:t xml:space="preserve">an evaluation of the property. </w:t>
      </w:r>
      <w:r w:rsidR="008E53C5">
        <w:rPr>
          <w:rFonts w:eastAsia="Calibri"/>
          <w:sz w:val="20"/>
        </w:rPr>
        <w:t>The LR2 zoning designation of the property and development regulations may allow for the construction of one single family r</w:t>
      </w:r>
      <w:r w:rsidR="0028475B">
        <w:rPr>
          <w:rFonts w:eastAsia="Calibri"/>
          <w:sz w:val="20"/>
        </w:rPr>
        <w:t xml:space="preserve">esidence. </w:t>
      </w:r>
      <w:r w:rsidR="008E53C5">
        <w:rPr>
          <w:rFonts w:eastAsia="Calibri"/>
          <w:sz w:val="20"/>
        </w:rPr>
        <w:t xml:space="preserve">The property is bounded by </w:t>
      </w:r>
      <w:r w:rsidR="0028475B">
        <w:rPr>
          <w:rFonts w:eastAsia="Calibri"/>
          <w:sz w:val="20"/>
        </w:rPr>
        <w:t xml:space="preserve">public streets on three sides. </w:t>
      </w:r>
      <w:r w:rsidR="008E53C5">
        <w:rPr>
          <w:rFonts w:eastAsia="Calibri"/>
          <w:sz w:val="20"/>
        </w:rPr>
        <w:t xml:space="preserve">The only possible vehicular access is from Midvale Ave North.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8E53C5">
        <w:rPr>
          <w:rFonts w:eastAsia="Calibri"/>
          <w:sz w:val="20"/>
        </w:rPr>
        <w:t xml:space="preserve">Street fund.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8E53C5">
        <w:rPr>
          <w:rFonts w:eastAsia="Calibri"/>
          <w:sz w:val="20"/>
        </w:rPr>
        <w:t xml:space="preserve">None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8E53C5">
        <w:rPr>
          <w:sz w:val="20"/>
        </w:rPr>
        <w:t xml:space="preserve">The Seattle Department of Transportation has identified in a public road project to use approximately the northern two feet of the property for roadside landscaping. </w:t>
      </w:r>
      <w:r w:rsidR="0028475B">
        <w:rPr>
          <w:sz w:val="20"/>
        </w:rPr>
        <w:t xml:space="preserve">SDOT maintains the entire parcel for street landscaping.  Transferring the property to SDOT and </w:t>
      </w:r>
      <w:proofErr w:type="gramStart"/>
      <w:r w:rsidR="0028475B">
        <w:rPr>
          <w:sz w:val="20"/>
        </w:rPr>
        <w:t>laying</w:t>
      </w:r>
      <w:proofErr w:type="gramEnd"/>
      <w:r w:rsidR="0028475B">
        <w:rPr>
          <w:sz w:val="20"/>
        </w:rPr>
        <w:t xml:space="preserve"> off the parcel as right of way is consistent with past use of the property. </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8E53C5">
        <w:rPr>
          <w:rFonts w:eastAsia="Calibri"/>
          <w:sz w:val="20"/>
        </w:rPr>
        <w:t xml:space="preserve">None. </w:t>
      </w:r>
    </w:p>
    <w:p w:rsidR="006F0F12" w:rsidRPr="006F0F12" w:rsidRDefault="006F0F12" w:rsidP="006F0F12">
      <w:pPr>
        <w:rPr>
          <w:rFonts w:eastAsia="Calibri"/>
          <w:b/>
          <w:sz w:val="22"/>
          <w:szCs w:val="22"/>
        </w:rPr>
      </w:pPr>
    </w:p>
    <w:p w:rsidR="00DE5C84" w:rsidRDefault="00DE26E8" w:rsidP="00DE26E8">
      <w:pPr>
        <w:rPr>
          <w:rFonts w:eastAsia="Calibri"/>
          <w:sz w:val="20"/>
        </w:rPr>
      </w:pPr>
      <w:r>
        <w:rPr>
          <w:rFonts w:eastAsia="Calibri"/>
          <w:b/>
          <w:sz w:val="20"/>
        </w:rPr>
        <w:t>Neighborhood</w:t>
      </w:r>
      <w:r w:rsidRPr="003705BF">
        <w:rPr>
          <w:rFonts w:eastAsia="Calibri"/>
          <w:b/>
          <w:sz w:val="20"/>
        </w:rPr>
        <w:t>:</w:t>
      </w:r>
      <w:r w:rsidR="002B44D3">
        <w:rPr>
          <w:rFonts w:eastAsia="Calibri"/>
          <w:b/>
          <w:sz w:val="20"/>
        </w:rPr>
        <w:t xml:space="preserve"> </w:t>
      </w:r>
      <w:r w:rsidR="00822841">
        <w:rPr>
          <w:rFonts w:eastAsia="Calibri"/>
          <w:sz w:val="20"/>
        </w:rPr>
        <w:t xml:space="preserve"> </w:t>
      </w:r>
      <w:r w:rsidR="005A19FF">
        <w:rPr>
          <w:rFonts w:eastAsia="Calibri"/>
          <w:sz w:val="20"/>
        </w:rPr>
        <w:t xml:space="preserve">Wallingford </w:t>
      </w:r>
    </w:p>
    <w:p w:rsidR="00E5179D" w:rsidRPr="00F764CC" w:rsidRDefault="00E5179D" w:rsidP="00DE26E8">
      <w:pPr>
        <w:rPr>
          <w:rFonts w:eastAsia="Calibri"/>
          <w:sz w:val="20"/>
        </w:rPr>
      </w:pPr>
    </w:p>
    <w:p w:rsidR="00822841" w:rsidRDefault="00DE26E8" w:rsidP="00EA181B">
      <w:pPr>
        <w:pStyle w:val="NoSpacing"/>
        <w:rPr>
          <w:rFonts w:ascii="Tahoma" w:hAnsi="Tahoma" w:cs="Tahoma"/>
          <w:sz w:val="20"/>
        </w:rPr>
      </w:pPr>
      <w:r w:rsidRPr="00EA181B">
        <w:rPr>
          <w:rFonts w:ascii="Times New Roman" w:hAnsi="Times New Roman"/>
          <w:b/>
          <w:sz w:val="20"/>
        </w:rPr>
        <w:t>Legal Description:</w:t>
      </w:r>
      <w:r w:rsidR="002B44D3" w:rsidRPr="002B44D3">
        <w:rPr>
          <w:rFonts w:ascii="Tahoma" w:hAnsi="Tahoma" w:cs="Tahoma"/>
          <w:sz w:val="20"/>
        </w:rPr>
        <w:t xml:space="preserve"> </w:t>
      </w:r>
    </w:p>
    <w:p w:rsidR="008E53C5" w:rsidRPr="00F24FE4" w:rsidRDefault="008E53C5" w:rsidP="008E53C5">
      <w:pPr>
        <w:pStyle w:val="NoSpacing"/>
        <w:rPr>
          <w:rFonts w:ascii="Times New Roman" w:hAnsi="Times New Roman"/>
          <w:sz w:val="20"/>
        </w:rPr>
      </w:pPr>
      <w:r w:rsidRPr="00F24FE4">
        <w:rPr>
          <w:rFonts w:ascii="Times New Roman" w:hAnsi="Times New Roman"/>
          <w:sz w:val="20"/>
        </w:rPr>
        <w:t>Lot 1 and 2 Sharpless 2</w:t>
      </w:r>
      <w:r w:rsidRPr="00F24FE4">
        <w:rPr>
          <w:rFonts w:ascii="Times New Roman" w:hAnsi="Times New Roman"/>
          <w:sz w:val="20"/>
          <w:vertAlign w:val="superscript"/>
        </w:rPr>
        <w:t>nd</w:t>
      </w:r>
      <w:r w:rsidRPr="00F24FE4">
        <w:rPr>
          <w:rFonts w:ascii="Times New Roman" w:hAnsi="Times New Roman"/>
          <w:sz w:val="20"/>
        </w:rPr>
        <w:t xml:space="preserve"> Addition to the City of Seattle, vol</w:t>
      </w:r>
      <w:r w:rsidR="00F24FE4" w:rsidRPr="00F24FE4">
        <w:rPr>
          <w:rFonts w:ascii="Times New Roman" w:hAnsi="Times New Roman"/>
          <w:sz w:val="20"/>
        </w:rPr>
        <w:t>ume</w:t>
      </w:r>
      <w:r w:rsidR="005A19FF">
        <w:rPr>
          <w:rFonts w:ascii="Times New Roman" w:hAnsi="Times New Roman"/>
          <w:sz w:val="20"/>
        </w:rPr>
        <w:t xml:space="preserve"> 19 page 45, </w:t>
      </w:r>
      <w:r w:rsidRPr="00F24FE4">
        <w:rPr>
          <w:rFonts w:ascii="Times New Roman" w:hAnsi="Times New Roman"/>
          <w:sz w:val="20"/>
        </w:rPr>
        <w:t xml:space="preserve">less portion for street condemned under </w:t>
      </w:r>
      <w:r w:rsidR="00F24FE4" w:rsidRPr="00F24FE4">
        <w:rPr>
          <w:rFonts w:ascii="Times New Roman" w:hAnsi="Times New Roman"/>
          <w:sz w:val="20"/>
        </w:rPr>
        <w:t>ordinance</w:t>
      </w:r>
      <w:r w:rsidRPr="00F24FE4">
        <w:rPr>
          <w:rFonts w:ascii="Times New Roman" w:hAnsi="Times New Roman"/>
          <w:sz w:val="20"/>
        </w:rPr>
        <w:t xml:space="preserve"> 59719, together with portion of street under vacation ordinance 33874 </w:t>
      </w:r>
    </w:p>
    <w:p w:rsidR="008E53C5" w:rsidRDefault="008E53C5" w:rsidP="00EA181B">
      <w:pPr>
        <w:pStyle w:val="NoSpacing"/>
        <w:rPr>
          <w:rFonts w:ascii="Tahoma" w:hAnsi="Tahoma" w:cs="Tahoma"/>
          <w:sz w:val="20"/>
        </w:rPr>
      </w:pPr>
    </w:p>
    <w:p w:rsidR="008E53C5" w:rsidRPr="00E5179D" w:rsidRDefault="008E53C5" w:rsidP="00EA181B">
      <w:pPr>
        <w:pStyle w:val="NoSpacing"/>
        <w:rPr>
          <w:rFonts w:ascii="Times New Roman" w:hAnsi="Times New Roman"/>
          <w:b/>
          <w:sz w:val="20"/>
        </w:rPr>
      </w:pPr>
    </w:p>
    <w:p w:rsidR="00822841" w:rsidRDefault="00822841">
      <w:pPr>
        <w:rPr>
          <w:rFonts w:ascii="Tahoma" w:hAnsi="Tahoma" w:cs="Tahoma"/>
          <w:sz w:val="20"/>
        </w:rPr>
      </w:pPr>
      <w:r>
        <w:rPr>
          <w:rFonts w:ascii="Tahoma" w:hAnsi="Tahoma" w:cs="Tahoma"/>
          <w:sz w:val="20"/>
        </w:rPr>
        <w:br w:type="page"/>
      </w:r>
    </w:p>
    <w:sectPr w:rsidR="00822841" w:rsidSect="00492DA7">
      <w:footerReference w:type="default" r:id="rId13"/>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CE5107">
          <w:rPr>
            <w:noProof/>
            <w:sz w:val="16"/>
            <w:szCs w:val="16"/>
          </w:rPr>
          <w:t>3</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257671">
      <w:rPr>
        <w:sz w:val="12"/>
        <w:szCs w:val="12"/>
      </w:rPr>
      <w:t xml:space="preserve">December </w:t>
    </w:r>
    <w:proofErr w:type="gramStart"/>
    <w:r w:rsidR="00257671">
      <w:rPr>
        <w:sz w:val="12"/>
        <w:szCs w:val="12"/>
      </w:rPr>
      <w:t>2</w:t>
    </w:r>
    <w:r w:rsidR="0028475B">
      <w:rPr>
        <w:sz w:val="12"/>
        <w:szCs w:val="12"/>
      </w:rPr>
      <w:t xml:space="preserve"> </w:t>
    </w:r>
    <w:r w:rsidR="00794C12">
      <w:rPr>
        <w:sz w:val="12"/>
        <w:szCs w:val="12"/>
      </w:rPr>
      <w:t>,</w:t>
    </w:r>
    <w:proofErr w:type="gramEnd"/>
    <w:r w:rsidR="00794C12">
      <w:rPr>
        <w:sz w:val="12"/>
        <w:szCs w:val="12"/>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7C99"/>
    <w:rsid w:val="00032366"/>
    <w:rsid w:val="0008403A"/>
    <w:rsid w:val="000A1CCC"/>
    <w:rsid w:val="000C2121"/>
    <w:rsid w:val="000C5ABA"/>
    <w:rsid w:val="000D034F"/>
    <w:rsid w:val="000E172A"/>
    <w:rsid w:val="0011636D"/>
    <w:rsid w:val="0013125A"/>
    <w:rsid w:val="00146719"/>
    <w:rsid w:val="00164EB9"/>
    <w:rsid w:val="001840FF"/>
    <w:rsid w:val="001948EC"/>
    <w:rsid w:val="00196C3B"/>
    <w:rsid w:val="001B6FEE"/>
    <w:rsid w:val="001C4948"/>
    <w:rsid w:val="001E53B8"/>
    <w:rsid w:val="001F43F8"/>
    <w:rsid w:val="00207473"/>
    <w:rsid w:val="00250FED"/>
    <w:rsid w:val="00255DC9"/>
    <w:rsid w:val="00257671"/>
    <w:rsid w:val="00265546"/>
    <w:rsid w:val="00275A41"/>
    <w:rsid w:val="00280F49"/>
    <w:rsid w:val="00283CD4"/>
    <w:rsid w:val="0028475B"/>
    <w:rsid w:val="00294AFE"/>
    <w:rsid w:val="002B44D3"/>
    <w:rsid w:val="002D7DFF"/>
    <w:rsid w:val="002E3651"/>
    <w:rsid w:val="002E5832"/>
    <w:rsid w:val="00307345"/>
    <w:rsid w:val="00333C3A"/>
    <w:rsid w:val="0033425E"/>
    <w:rsid w:val="0036303A"/>
    <w:rsid w:val="0036327E"/>
    <w:rsid w:val="00365CEE"/>
    <w:rsid w:val="003705BF"/>
    <w:rsid w:val="00391C77"/>
    <w:rsid w:val="003C22E2"/>
    <w:rsid w:val="003D5FD2"/>
    <w:rsid w:val="00420109"/>
    <w:rsid w:val="0042251B"/>
    <w:rsid w:val="00436903"/>
    <w:rsid w:val="00443931"/>
    <w:rsid w:val="0044466D"/>
    <w:rsid w:val="0044776E"/>
    <w:rsid w:val="004631D5"/>
    <w:rsid w:val="00480365"/>
    <w:rsid w:val="00490040"/>
    <w:rsid w:val="00492923"/>
    <w:rsid w:val="00492DA7"/>
    <w:rsid w:val="004A50D3"/>
    <w:rsid w:val="004B5CC6"/>
    <w:rsid w:val="004C4AAD"/>
    <w:rsid w:val="004D17FB"/>
    <w:rsid w:val="004F2958"/>
    <w:rsid w:val="004F572A"/>
    <w:rsid w:val="00517907"/>
    <w:rsid w:val="0052033C"/>
    <w:rsid w:val="0052042B"/>
    <w:rsid w:val="005300D4"/>
    <w:rsid w:val="005313ED"/>
    <w:rsid w:val="00534F8F"/>
    <w:rsid w:val="00555469"/>
    <w:rsid w:val="00556142"/>
    <w:rsid w:val="00562DC4"/>
    <w:rsid w:val="00577389"/>
    <w:rsid w:val="00585EF5"/>
    <w:rsid w:val="005A19FF"/>
    <w:rsid w:val="005B4BA3"/>
    <w:rsid w:val="005E2975"/>
    <w:rsid w:val="005F27C8"/>
    <w:rsid w:val="0063392D"/>
    <w:rsid w:val="00633C72"/>
    <w:rsid w:val="00645998"/>
    <w:rsid w:val="00656787"/>
    <w:rsid w:val="00667321"/>
    <w:rsid w:val="00695D2F"/>
    <w:rsid w:val="006B0D5D"/>
    <w:rsid w:val="006C5873"/>
    <w:rsid w:val="006D1126"/>
    <w:rsid w:val="006E2037"/>
    <w:rsid w:val="006F0F12"/>
    <w:rsid w:val="007439C1"/>
    <w:rsid w:val="00755A01"/>
    <w:rsid w:val="00757B05"/>
    <w:rsid w:val="007879CB"/>
    <w:rsid w:val="00790C95"/>
    <w:rsid w:val="00794C12"/>
    <w:rsid w:val="007A6A35"/>
    <w:rsid w:val="007C46AE"/>
    <w:rsid w:val="007E56FE"/>
    <w:rsid w:val="007F35A8"/>
    <w:rsid w:val="00822841"/>
    <w:rsid w:val="008311D1"/>
    <w:rsid w:val="00835B36"/>
    <w:rsid w:val="00837A88"/>
    <w:rsid w:val="008409EA"/>
    <w:rsid w:val="00894283"/>
    <w:rsid w:val="008A0EB8"/>
    <w:rsid w:val="008A1FB0"/>
    <w:rsid w:val="008E53C5"/>
    <w:rsid w:val="008E73BA"/>
    <w:rsid w:val="008F701B"/>
    <w:rsid w:val="00903AC2"/>
    <w:rsid w:val="00910077"/>
    <w:rsid w:val="00914B02"/>
    <w:rsid w:val="00927340"/>
    <w:rsid w:val="0094086C"/>
    <w:rsid w:val="009479E0"/>
    <w:rsid w:val="00953026"/>
    <w:rsid w:val="00953084"/>
    <w:rsid w:val="009564F0"/>
    <w:rsid w:val="0097564A"/>
    <w:rsid w:val="009823E0"/>
    <w:rsid w:val="00983923"/>
    <w:rsid w:val="009925FB"/>
    <w:rsid w:val="00993E38"/>
    <w:rsid w:val="009A0168"/>
    <w:rsid w:val="009A0207"/>
    <w:rsid w:val="009A4616"/>
    <w:rsid w:val="009E0A50"/>
    <w:rsid w:val="00A00DF1"/>
    <w:rsid w:val="00A01477"/>
    <w:rsid w:val="00A325B2"/>
    <w:rsid w:val="00A34A96"/>
    <w:rsid w:val="00A36EA7"/>
    <w:rsid w:val="00A6344A"/>
    <w:rsid w:val="00A97D10"/>
    <w:rsid w:val="00AA50FF"/>
    <w:rsid w:val="00AB6952"/>
    <w:rsid w:val="00AC55D7"/>
    <w:rsid w:val="00AD5766"/>
    <w:rsid w:val="00AE3316"/>
    <w:rsid w:val="00B137E8"/>
    <w:rsid w:val="00B4423D"/>
    <w:rsid w:val="00B73E58"/>
    <w:rsid w:val="00B82BC5"/>
    <w:rsid w:val="00B85866"/>
    <w:rsid w:val="00BB0570"/>
    <w:rsid w:val="00BD3F46"/>
    <w:rsid w:val="00BD56E5"/>
    <w:rsid w:val="00BD598A"/>
    <w:rsid w:val="00BE2778"/>
    <w:rsid w:val="00BE3B4F"/>
    <w:rsid w:val="00BE6B70"/>
    <w:rsid w:val="00BF234A"/>
    <w:rsid w:val="00BF6597"/>
    <w:rsid w:val="00C109D8"/>
    <w:rsid w:val="00C1559E"/>
    <w:rsid w:val="00C21861"/>
    <w:rsid w:val="00C4128F"/>
    <w:rsid w:val="00C54A8B"/>
    <w:rsid w:val="00C552C2"/>
    <w:rsid w:val="00C819F1"/>
    <w:rsid w:val="00CA5F3B"/>
    <w:rsid w:val="00CE5107"/>
    <w:rsid w:val="00CF4FC1"/>
    <w:rsid w:val="00CF5EBD"/>
    <w:rsid w:val="00CF7D8E"/>
    <w:rsid w:val="00D26B07"/>
    <w:rsid w:val="00D30FA8"/>
    <w:rsid w:val="00D36AB8"/>
    <w:rsid w:val="00D5625A"/>
    <w:rsid w:val="00D56C8E"/>
    <w:rsid w:val="00D74D25"/>
    <w:rsid w:val="00DA3A3A"/>
    <w:rsid w:val="00DC112A"/>
    <w:rsid w:val="00DC15A3"/>
    <w:rsid w:val="00DE26E8"/>
    <w:rsid w:val="00DE4FF7"/>
    <w:rsid w:val="00DE5927"/>
    <w:rsid w:val="00DE5C84"/>
    <w:rsid w:val="00DF127D"/>
    <w:rsid w:val="00E06B5A"/>
    <w:rsid w:val="00E13A68"/>
    <w:rsid w:val="00E5179D"/>
    <w:rsid w:val="00E62ECB"/>
    <w:rsid w:val="00E74465"/>
    <w:rsid w:val="00E83700"/>
    <w:rsid w:val="00EA14B3"/>
    <w:rsid w:val="00EA181B"/>
    <w:rsid w:val="00EB443A"/>
    <w:rsid w:val="00EB7605"/>
    <w:rsid w:val="00ED348A"/>
    <w:rsid w:val="00EF2CA4"/>
    <w:rsid w:val="00EF328A"/>
    <w:rsid w:val="00F011FF"/>
    <w:rsid w:val="00F017DA"/>
    <w:rsid w:val="00F20791"/>
    <w:rsid w:val="00F24FE4"/>
    <w:rsid w:val="00F5681A"/>
    <w:rsid w:val="00F749EC"/>
    <w:rsid w:val="00F92905"/>
    <w:rsid w:val="00F968CE"/>
    <w:rsid w:val="00F97478"/>
    <w:rsid w:val="00FA7DE3"/>
    <w:rsid w:val="00FB449B"/>
    <w:rsid w:val="00FB561F"/>
    <w:rsid w:val="00FC331A"/>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lerk.seattle.gov/~archives/Ordinances/Ord_3387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lerk.seattle.gov/~archives/Ordinances/Ord_59719.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A0040-010F-440F-9739-DB74C9DF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Bretzke</dc:creator>
  <cp:lastModifiedBy>Bretzke, Daniel</cp:lastModifiedBy>
  <cp:revision>29</cp:revision>
  <cp:lastPrinted>2015-12-02T16:25:00Z</cp:lastPrinted>
  <dcterms:created xsi:type="dcterms:W3CDTF">2015-06-15T22:26:00Z</dcterms:created>
  <dcterms:modified xsi:type="dcterms:W3CDTF">2015-12-02T17:50:00Z</dcterms:modified>
</cp:coreProperties>
</file>