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101B0F" w:rsidP="003705BF">
      <w:pPr>
        <w:jc w:val="center"/>
        <w:rPr>
          <w:rFonts w:eastAsia="Calibri"/>
          <w:sz w:val="22"/>
          <w:szCs w:val="22"/>
        </w:rPr>
      </w:pPr>
      <w:r>
        <w:rPr>
          <w:rFonts w:eastAsia="Calibri"/>
          <w:sz w:val="22"/>
          <w:szCs w:val="22"/>
        </w:rPr>
        <w:t xml:space="preserve">December </w:t>
      </w:r>
      <w:r w:rsidR="00DB2D5B">
        <w:rPr>
          <w:rFonts w:eastAsia="Calibri"/>
          <w:sz w:val="22"/>
          <w:szCs w:val="22"/>
        </w:rPr>
        <w:t>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 xml:space="preserve">Snippet </w:t>
      </w:r>
      <w:r w:rsidR="008C26D3">
        <w:rPr>
          <w:sz w:val="20"/>
        </w:rPr>
        <w:t>at 1704 Alki Ave SW</w:t>
      </w:r>
      <w:r w:rsidR="00EB443A">
        <w:rPr>
          <w:sz w:val="20"/>
        </w:rPr>
        <w:t xml:space="preserve"> </w:t>
      </w:r>
    </w:p>
    <w:p w:rsidR="00EA181B" w:rsidRPr="00AD5766" w:rsidRDefault="00EA181B" w:rsidP="003705BF">
      <w:pPr>
        <w:rPr>
          <w:rFonts w:eastAsia="Calibri"/>
          <w:sz w:val="20"/>
        </w:rPr>
      </w:pPr>
    </w:p>
    <w:tbl>
      <w:tblPr>
        <w:tblStyle w:val="TableGrid"/>
        <w:tblW w:w="7110" w:type="dxa"/>
        <w:tblInd w:w="918" w:type="dxa"/>
        <w:tblLayout w:type="fixed"/>
        <w:tblLook w:val="04A0" w:firstRow="1" w:lastRow="0" w:firstColumn="1" w:lastColumn="0" w:noHBand="0" w:noVBand="1"/>
      </w:tblPr>
      <w:tblGrid>
        <w:gridCol w:w="810"/>
        <w:gridCol w:w="990"/>
        <w:gridCol w:w="1170"/>
        <w:gridCol w:w="1800"/>
        <w:gridCol w:w="1080"/>
        <w:gridCol w:w="1260"/>
      </w:tblGrid>
      <w:tr w:rsidR="007879CB" w:rsidRPr="00AD5766" w:rsidTr="006A07B5">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180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08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26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6A07B5">
        <w:trPr>
          <w:trHeight w:val="278"/>
        </w:trPr>
        <w:tc>
          <w:tcPr>
            <w:tcW w:w="810" w:type="dxa"/>
          </w:tcPr>
          <w:p w:rsidR="007879CB" w:rsidRDefault="007879CB" w:rsidP="00420109">
            <w:pPr>
              <w:tabs>
                <w:tab w:val="left" w:pos="1260"/>
              </w:tabs>
              <w:jc w:val="center"/>
              <w:rPr>
                <w:rFonts w:eastAsia="Calibri"/>
                <w:sz w:val="16"/>
                <w:szCs w:val="16"/>
              </w:rPr>
            </w:pPr>
            <w:r>
              <w:rPr>
                <w:rFonts w:eastAsia="Calibri"/>
                <w:sz w:val="16"/>
                <w:szCs w:val="16"/>
              </w:rPr>
              <w:t>4502</w:t>
            </w:r>
          </w:p>
        </w:tc>
        <w:tc>
          <w:tcPr>
            <w:tcW w:w="990" w:type="dxa"/>
          </w:tcPr>
          <w:p w:rsidR="007879CB" w:rsidRDefault="00FB449B" w:rsidP="009A4616">
            <w:pPr>
              <w:tabs>
                <w:tab w:val="left" w:pos="1260"/>
              </w:tabs>
              <w:ind w:right="126"/>
              <w:rPr>
                <w:rFonts w:eastAsia="Calibri"/>
                <w:sz w:val="16"/>
                <w:szCs w:val="16"/>
              </w:rPr>
            </w:pPr>
            <w:r>
              <w:rPr>
                <w:rFonts w:eastAsia="Calibri"/>
                <w:sz w:val="16"/>
                <w:szCs w:val="16"/>
              </w:rPr>
              <w:t>122</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1800" w:type="dxa"/>
          </w:tcPr>
          <w:p w:rsidR="007879CB" w:rsidRDefault="009A4616" w:rsidP="00420109">
            <w:pPr>
              <w:tabs>
                <w:tab w:val="left" w:pos="2232"/>
              </w:tabs>
              <w:jc w:val="center"/>
              <w:rPr>
                <w:sz w:val="16"/>
                <w:szCs w:val="16"/>
              </w:rPr>
            </w:pPr>
            <w:r>
              <w:rPr>
                <w:sz w:val="16"/>
                <w:szCs w:val="16"/>
              </w:rPr>
              <w:t>SE of 1704 Alki Ave SW</w:t>
            </w:r>
            <w:r w:rsidR="006A07B5">
              <w:rPr>
                <w:sz w:val="16"/>
                <w:szCs w:val="16"/>
              </w:rPr>
              <w:t>, 98116</w:t>
            </w:r>
          </w:p>
          <w:p w:rsidR="006A07B5" w:rsidRPr="00EA181B" w:rsidRDefault="0023395D" w:rsidP="00420109">
            <w:pPr>
              <w:tabs>
                <w:tab w:val="left" w:pos="2232"/>
              </w:tabs>
              <w:jc w:val="center"/>
              <w:rPr>
                <w:sz w:val="16"/>
                <w:szCs w:val="16"/>
              </w:rPr>
            </w:pPr>
            <w:hyperlink r:id="rId9" w:history="1">
              <w:r w:rsidR="006A07B5" w:rsidRPr="006A07B5">
                <w:rPr>
                  <w:rStyle w:val="Hyperlink"/>
                  <w:sz w:val="16"/>
                  <w:szCs w:val="16"/>
                </w:rPr>
                <w:t>47.588004, -122.395308</w:t>
              </w:r>
            </w:hyperlink>
            <w:bookmarkStart w:id="0" w:name="_GoBack"/>
            <w:bookmarkEnd w:id="0"/>
          </w:p>
        </w:tc>
        <w:tc>
          <w:tcPr>
            <w:tcW w:w="108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260" w:type="dxa"/>
          </w:tcPr>
          <w:p w:rsidR="007879CB" w:rsidRPr="00EA181B" w:rsidRDefault="00FB449B" w:rsidP="0052033C">
            <w:pPr>
              <w:tabs>
                <w:tab w:val="left" w:pos="2232"/>
              </w:tabs>
              <w:jc w:val="center"/>
              <w:rPr>
                <w:rFonts w:eastAsia="Calibri"/>
                <w:sz w:val="14"/>
                <w:szCs w:val="14"/>
              </w:rPr>
            </w:pPr>
            <w:r>
              <w:rPr>
                <w:rFonts w:eastAsia="Calibri"/>
                <w:sz w:val="14"/>
                <w:szCs w:val="14"/>
              </w:rPr>
              <w:t>$610 $1,220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9A4616" w:rsidP="007879CB">
      <w:pPr>
        <w:ind w:left="810"/>
        <w:rPr>
          <w:rFonts w:eastAsia="Calibri"/>
          <w:b/>
          <w:noProof/>
          <w:sz w:val="20"/>
        </w:rPr>
      </w:pPr>
      <w:r>
        <w:rPr>
          <w:rFonts w:eastAsia="Calibri"/>
          <w:b/>
          <w:noProof/>
          <w:sz w:val="20"/>
        </w:rPr>
        <mc:AlternateContent>
          <mc:Choice Requires="wps">
            <w:drawing>
              <wp:anchor distT="0" distB="0" distL="114300" distR="114300" simplePos="0" relativeHeight="251666432" behindDoc="0" locked="0" layoutInCell="1" allowOverlap="1" wp14:anchorId="4C4FFE8A" wp14:editId="33E4DBFC">
                <wp:simplePos x="0" y="0"/>
                <wp:positionH relativeFrom="column">
                  <wp:posOffset>2395637</wp:posOffset>
                </wp:positionH>
                <wp:positionV relativeFrom="paragraph">
                  <wp:posOffset>1115060</wp:posOffset>
                </wp:positionV>
                <wp:extent cx="694690" cy="122555"/>
                <wp:effectExtent l="0" t="95250" r="10160" b="48895"/>
                <wp:wrapNone/>
                <wp:docPr id="3" name="Straight Arrow Connector 3"/>
                <wp:cNvGraphicFramePr/>
                <a:graphic xmlns:a="http://schemas.openxmlformats.org/drawingml/2006/main">
                  <a:graphicData uri="http://schemas.microsoft.com/office/word/2010/wordprocessingShape">
                    <wps:wsp>
                      <wps:cNvCnPr/>
                      <wps:spPr>
                        <a:xfrm flipH="1" flipV="1">
                          <a:off x="0" y="0"/>
                          <a:ext cx="694690" cy="1225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8.65pt;margin-top:87.8pt;width:54.7pt;height:9.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" strokecolor="#4579b8 [3044]" strokeweight="2.25pt">
                <v:stroke endarrow="open"/>
              </v:shape>
            </w:pict>
          </mc:Fallback>
        </mc:AlternateContent>
      </w:r>
      <w:r w:rsidR="007879CB">
        <w:rPr>
          <w:rFonts w:eastAsia="Calibri"/>
          <w:b/>
          <w:noProof/>
          <w:sz w:val="20"/>
        </w:rPr>
        <mc:AlternateContent>
          <mc:Choice Requires="wps">
            <w:drawing>
              <wp:anchor distT="0" distB="0" distL="114300" distR="114300" simplePos="0" relativeHeight="251667456" behindDoc="0" locked="0" layoutInCell="1" allowOverlap="1" wp14:anchorId="703A7C5F" wp14:editId="0EC23AA1">
                <wp:simplePos x="0" y="0"/>
                <wp:positionH relativeFrom="column">
                  <wp:posOffset>2306472</wp:posOffset>
                </wp:positionH>
                <wp:positionV relativeFrom="paragraph">
                  <wp:posOffset>979142</wp:posOffset>
                </wp:positionV>
                <wp:extent cx="156949" cy="184244"/>
                <wp:effectExtent l="0" t="0" r="14605" b="25400"/>
                <wp:wrapNone/>
                <wp:docPr id="9" name="Freeform 9"/>
                <wp:cNvGraphicFramePr/>
                <a:graphic xmlns:a="http://schemas.openxmlformats.org/drawingml/2006/main">
                  <a:graphicData uri="http://schemas.microsoft.com/office/word/2010/wordprocessingShape">
                    <wps:wsp>
                      <wps:cNvSpPr/>
                      <wps:spPr>
                        <a:xfrm>
                          <a:off x="0" y="0"/>
                          <a:ext cx="156949" cy="184244"/>
                        </a:xfrm>
                        <a:custGeom>
                          <a:avLst/>
                          <a:gdLst>
                            <a:gd name="connsiteX0" fmla="*/ 102358 w 156949"/>
                            <a:gd name="connsiteY0" fmla="*/ 0 h 184244"/>
                            <a:gd name="connsiteX1" fmla="*/ 0 w 156949"/>
                            <a:gd name="connsiteY1" fmla="*/ 136477 h 184244"/>
                            <a:gd name="connsiteX2" fmla="*/ 47767 w 156949"/>
                            <a:gd name="connsiteY2" fmla="*/ 184244 h 184244"/>
                            <a:gd name="connsiteX3" fmla="*/ 156949 w 156949"/>
                            <a:gd name="connsiteY3" fmla="*/ 47767 h 184244"/>
                            <a:gd name="connsiteX4" fmla="*/ 102358 w 156949"/>
                            <a:gd name="connsiteY4" fmla="*/ 0 h 1842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949" h="184244">
                              <a:moveTo>
                                <a:pt x="102358" y="0"/>
                              </a:moveTo>
                              <a:lnTo>
                                <a:pt x="0" y="136477"/>
                              </a:lnTo>
                              <a:lnTo>
                                <a:pt x="47767" y="184244"/>
                              </a:lnTo>
                              <a:lnTo>
                                <a:pt x="156949" y="47767"/>
                              </a:lnTo>
                              <a:lnTo>
                                <a:pt x="102358" y="0"/>
                              </a:lnTo>
                              <a:close/>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9" o:spid="_x0000_s1026" style="position:absolute;margin-left:181.6pt;margin-top:77.1pt;width:12.35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56949,18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" path="m102358,l,136477r47767,47767l156949,47767,102358,xe" filled="f" strokecolor="#243f60 [1604]" strokeweight="2pt">
                <v:path arrowok="t" o:connecttype="custom" o:connectlocs="102358,0;0,136477;47767,184244;156949,47767;102358,0" o:connectangles="0,0,0,0,0"/>
              </v:shape>
            </w:pict>
          </mc:Fallback>
        </mc:AlternateContent>
      </w:r>
      <w:r w:rsidR="007879CB">
        <w:rPr>
          <w:rFonts w:eastAsia="Calibri"/>
          <w:b/>
          <w:noProof/>
          <w:sz w:val="20"/>
        </w:rPr>
        <mc:AlternateContent>
          <mc:Choice Requires="wps">
            <w:drawing>
              <wp:anchor distT="0" distB="0" distL="114300" distR="114300" simplePos="0" relativeHeight="251663360" behindDoc="0" locked="0" layoutInCell="1" allowOverlap="1" wp14:anchorId="7025B603" wp14:editId="71C48706">
                <wp:simplePos x="0" y="0"/>
                <wp:positionH relativeFrom="column">
                  <wp:posOffset>3088526</wp:posOffset>
                </wp:positionH>
                <wp:positionV relativeFrom="paragraph">
                  <wp:posOffset>1073785</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7879CB">
                            <w:r>
                              <w:t>PMA 4502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3.2pt;margin-top:84.55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" fillcolor="white [3201]" strokeweight=".5pt">
                <v:textbox>
                  <w:txbxContent>
                    <w:p w:rsidR="00BF234A" w:rsidRDefault="007879CB">
                      <w:r>
                        <w:t>PMA 4502</w:t>
                      </w:r>
                    </w:p>
                  </w:txbxContent>
                </v:textbox>
              </v:shape>
            </w:pict>
          </mc:Fallback>
        </mc:AlternateContent>
      </w:r>
      <w:r w:rsidR="007879CB">
        <w:rPr>
          <w:noProof/>
        </w:rPr>
        <w:drawing>
          <wp:inline distT="0" distB="0" distL="0" distR="0" wp14:anchorId="68F2AF61" wp14:editId="413EF8B3">
            <wp:extent cx="5049672" cy="475935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54580" cy="4763984"/>
                    </a:xfrm>
                    <a:prstGeom prst="rect">
                      <a:avLst/>
                    </a:prstGeom>
                  </pic:spPr>
                </pic:pic>
              </a:graphicData>
            </a:graphic>
          </wp:inline>
        </w:drawing>
      </w:r>
    </w:p>
    <w:p w:rsidR="0094086C" w:rsidRPr="00F5681A" w:rsidRDefault="0094086C" w:rsidP="0094086C">
      <w:pPr>
        <w:rPr>
          <w:rFonts w:eastAsia="Calibri"/>
          <w:b/>
          <w:sz w:val="20"/>
        </w:rPr>
      </w:pPr>
      <w:r>
        <w:rPr>
          <w:rFonts w:eastAsia="Calibri"/>
          <w:b/>
          <w:noProof/>
          <w:sz w:val="20"/>
        </w:rPr>
        <w:t>Map:</w:t>
      </w:r>
      <w:r w:rsidR="007879CB">
        <w:rPr>
          <w:rFonts w:eastAsia="Calibri"/>
          <w:b/>
          <w:sz w:val="20"/>
        </w:rPr>
        <w:t xml:space="preserve"> </w:t>
      </w:r>
    </w:p>
    <w:p w:rsidR="003705BF" w:rsidRPr="003705BF" w:rsidRDefault="003705BF" w:rsidP="003705BF">
      <w:pPr>
        <w:rPr>
          <w:rFonts w:eastAsia="Calibri"/>
          <w:b/>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w:t>
      </w:r>
      <w:r w:rsidR="00101B0F">
        <w:rPr>
          <w:rFonts w:eastAsia="Calibri"/>
          <w:sz w:val="20"/>
        </w:rPr>
        <w:t xml:space="preserve"> King County for unpaid taxes. </w:t>
      </w:r>
      <w:r w:rsidRPr="002B08B0">
        <w:rPr>
          <w:rFonts w:eastAsia="Calibri"/>
          <w:sz w:val="20"/>
        </w:rPr>
        <w:t>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00101B0F">
        <w:rPr>
          <w:rFonts w:eastAsia="Calibri"/>
          <w:sz w:val="20"/>
        </w:rPr>
        <w:t xml:space="preserve">. </w:t>
      </w:r>
      <w:r w:rsidRPr="002B08B0">
        <w:rPr>
          <w:rFonts w:eastAsia="Calibri"/>
          <w:sz w:val="20"/>
        </w:rPr>
        <w:t>The City has passed regulations regarding the maintenance and development of proper</w:t>
      </w:r>
      <w:r w:rsidR="00101B0F">
        <w:rPr>
          <w:rFonts w:eastAsia="Calibri"/>
          <w:sz w:val="20"/>
        </w:rPr>
        <w:t xml:space="preserve">ty located on steep hillsides. </w:t>
      </w:r>
      <w:r w:rsidRPr="002B08B0">
        <w:rPr>
          <w:rFonts w:eastAsia="Calibri"/>
          <w:sz w:val="20"/>
        </w:rPr>
        <w:t>In 2008 the property</w:t>
      </w:r>
      <w:r w:rsidR="00DB2D5B">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47224D"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r w:rsidRPr="002B08B0">
        <w:rPr>
          <w:sz w:val="20"/>
        </w:rPr>
        <w:t xml:space="preserve">7/14/1959, </w:t>
      </w:r>
      <w:hyperlink r:id="rId11" w:history="1">
        <w:r w:rsidRPr="002B08B0">
          <w:rPr>
            <w:rStyle w:val="Hyperlink"/>
            <w:sz w:val="20"/>
          </w:rPr>
          <w:t>88399</w:t>
        </w:r>
      </w:hyperlink>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2"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10/7/1981, </w:t>
      </w:r>
      <w:hyperlink r:id="rId13"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w:t>
      </w:r>
      <w:r w:rsidR="00101B0F">
        <w:rPr>
          <w:sz w:val="20"/>
        </w:rPr>
        <w:t xml:space="preserve">City of Seattle Property Sale) </w:t>
      </w:r>
      <w:r w:rsidRPr="002B08B0">
        <w:rPr>
          <w:sz w:val="20"/>
        </w:rPr>
        <w:t xml:space="preserve">12/22/1995, </w:t>
      </w:r>
      <w:hyperlink r:id="rId14"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00101B0F">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6C5873" w:rsidRDefault="003705BF" w:rsidP="003705BF">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101B0F">
        <w:rPr>
          <w:rFonts w:eastAsia="Calibri"/>
          <w:sz w:val="20"/>
        </w:rPr>
        <w:t xml:space="preserve">. </w:t>
      </w:r>
    </w:p>
    <w:p w:rsidR="00DB2D5B" w:rsidRPr="003705BF" w:rsidRDefault="00DB2D5B"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903AC2">
        <w:rPr>
          <w:rFonts w:eastAsia="Calibri"/>
          <w:sz w:val="20"/>
        </w:rPr>
        <w:t xml:space="preserve">he property </w:t>
      </w:r>
      <w:r w:rsidR="0052033C">
        <w:rPr>
          <w:rFonts w:eastAsia="Calibri"/>
          <w:sz w:val="20"/>
        </w:rPr>
        <w:t>is land locked</w:t>
      </w:r>
      <w:r w:rsidR="00DB2D5B">
        <w:rPr>
          <w:rFonts w:eastAsia="Calibri"/>
          <w:sz w:val="20"/>
        </w:rPr>
        <w:t xml:space="preserve"> with no recorded </w:t>
      </w:r>
      <w:proofErr w:type="spellStart"/>
      <w:r w:rsidR="00DB2D5B">
        <w:rPr>
          <w:rFonts w:eastAsia="Calibri"/>
          <w:sz w:val="20"/>
        </w:rPr>
        <w:t>acess</w:t>
      </w:r>
      <w:proofErr w:type="spellEnd"/>
      <w:r w:rsidR="00DB2D5B">
        <w:rPr>
          <w:rFonts w:eastAsia="Calibri"/>
          <w:sz w:val="20"/>
        </w:rPr>
        <w:t>.</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47224D">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w:t>
      </w:r>
      <w:r w:rsidR="00DB2D5B">
        <w:rPr>
          <w:rFonts w:eastAsia="Calibri"/>
          <w:sz w:val="20"/>
        </w:rPr>
        <w:t xml:space="preserve"> a </w:t>
      </w:r>
      <w:r w:rsidR="0052033C">
        <w:rPr>
          <w:rFonts w:eastAsia="Calibri"/>
          <w:sz w:val="20"/>
        </w:rPr>
        <w:t xml:space="preserve"> city stree</w:t>
      </w:r>
      <w:r w:rsidR="00AB6952">
        <w:rPr>
          <w:rFonts w:eastAsia="Calibri"/>
          <w:sz w:val="20"/>
        </w:rPr>
        <w:t>t</w:t>
      </w:r>
      <w:r w:rsidR="0052033C">
        <w:rPr>
          <w:rFonts w:eastAsia="Calibri"/>
          <w:sz w:val="20"/>
        </w:rPr>
        <w:t>, and is subject to a steep slope buffer</w:t>
      </w:r>
      <w:r w:rsidR="00DB2D5B">
        <w:rPr>
          <w:rFonts w:eastAsia="Calibri"/>
          <w:sz w:val="20"/>
        </w:rPr>
        <w:t>.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AB6952">
        <w:rPr>
          <w:rFonts w:eastAsia="Calibri"/>
          <w:sz w:val="20"/>
        </w:rPr>
        <w:t>e value range for PMA 4502</w:t>
      </w:r>
      <w:r w:rsidR="0047224D">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DB2D5B" w:rsidRPr="00DB2D5B">
        <w:rPr>
          <w:rFonts w:eastAsia="Calibri"/>
          <w:sz w:val="20"/>
        </w:rPr>
        <w:t xml:space="preserve">Upon the sale of the property, a portion to the Facility Services Sub-fund for expenses relating to sale of property, and the remainder will be deposited into the general fund.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98755F">
        <w:rPr>
          <w:rFonts w:eastAsia="Calibri"/>
          <w:sz w:val="20"/>
        </w:rPr>
        <w:t xml:space="preserve"> </w:t>
      </w:r>
      <w:r w:rsidR="00DB2D5B" w:rsidRPr="00DB2D5B">
        <w:rPr>
          <w:rFonts w:eastAsia="Calibri"/>
          <w:sz w:val="20"/>
        </w:rPr>
        <w:t xml:space="preserve">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47224D">
        <w:rPr>
          <w:sz w:val="20"/>
        </w:rPr>
        <w:t xml:space="preserve"> A sale of PMA 4502</w:t>
      </w:r>
      <w:r w:rsidR="00B137E8">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 and</w:t>
      </w:r>
      <w:r w:rsidR="00B137E8">
        <w:rPr>
          <w:sz w:val="20"/>
        </w:rPr>
        <w:t xml:space="preserve"> may require a lot line adjustment to allow for the reconfi</w:t>
      </w:r>
      <w:r w:rsidR="0047224D">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98755F">
        <w:rPr>
          <w:rFonts w:eastAsia="Calibri"/>
          <w:sz w:val="20"/>
        </w:rPr>
        <w:t xml:space="preserve">There is no access from the City </w:t>
      </w:r>
      <w:proofErr w:type="gramStart"/>
      <w:r w:rsidR="0098755F">
        <w:rPr>
          <w:rFonts w:eastAsia="Calibri"/>
          <w:sz w:val="20"/>
        </w:rPr>
        <w:t>street</w:t>
      </w:r>
      <w:proofErr w:type="gramEnd"/>
      <w:r w:rsidR="0098755F">
        <w:rPr>
          <w:rFonts w:eastAsia="Calibri"/>
          <w:sz w:val="20"/>
        </w:rPr>
        <w:t xml:space="preserve"> to this property. </w:t>
      </w:r>
      <w:r w:rsidR="00B137E8">
        <w:rPr>
          <w:rFonts w:eastAsia="Calibri"/>
          <w:sz w:val="20"/>
        </w:rPr>
        <w:t xml:space="preserve">  </w:t>
      </w:r>
      <w:r w:rsidR="0098755F" w:rsidRPr="0098755F">
        <w:rPr>
          <w:rFonts w:eastAsia="Calibri"/>
          <w:sz w:val="20"/>
        </w:rPr>
        <w:t xml:space="preserve">Sale of the property to an adjacent property owner with access will resolve this issue.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47224D">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Pr>
          <w:rFonts w:ascii="Times New Roman" w:hAnsi="Times New Roman"/>
          <w:b/>
          <w:sz w:val="20"/>
        </w:rPr>
        <w:t xml:space="preserve"> prior to authorization for property sale</w:t>
      </w:r>
      <w:r w:rsidRPr="004743ED">
        <w:rPr>
          <w:rFonts w:ascii="Times New Roman" w:hAnsi="Times New Roman"/>
          <w:b/>
          <w:sz w:val="20"/>
        </w:rPr>
        <w:t>)</w:t>
      </w:r>
      <w:r w:rsidRPr="004743ED">
        <w:rPr>
          <w:rFonts w:ascii="Times New Roman" w:hAnsi="Times New Roman"/>
          <w:sz w:val="20"/>
        </w:rPr>
        <w:t xml:space="preserve"> </w:t>
      </w:r>
    </w:p>
    <w:p w:rsidR="00A97D10"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lastRenderedPageBreak/>
        <w:t xml:space="preserve">Beginning on the Southeasterly </w:t>
      </w:r>
      <w:r w:rsidR="00993E38">
        <w:rPr>
          <w:sz w:val="20"/>
        </w:rPr>
        <w:t>c</w:t>
      </w:r>
      <w:r>
        <w:rPr>
          <w:sz w:val="20"/>
        </w:rPr>
        <w:t xml:space="preserve">orner of tract 15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D01F51">
        <w:rPr>
          <w:sz w:val="20"/>
        </w:rPr>
        <w:t xml:space="preserve">lot 6 of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w:t>
      </w:r>
      <w:r w:rsidR="00E83700">
        <w:rPr>
          <w:sz w:val="20"/>
        </w:rPr>
        <w:t xml:space="preserve"> </w:t>
      </w:r>
      <w:r>
        <w:rPr>
          <w:sz w:val="20"/>
        </w:rPr>
        <w:t xml:space="preserve">E </w:t>
      </w:r>
      <w:r w:rsidR="00E83700">
        <w:rPr>
          <w:sz w:val="20"/>
        </w:rPr>
        <w:t xml:space="preserve"> approximately 21 feet </w:t>
      </w:r>
      <w:r>
        <w:rPr>
          <w:sz w:val="20"/>
        </w:rPr>
        <w:t xml:space="preserve">to the NE corner of lot 6 of </w:t>
      </w:r>
      <w:proofErr w:type="spellStart"/>
      <w:r>
        <w:rPr>
          <w:sz w:val="20"/>
        </w:rPr>
        <w:t>Clarmar</w:t>
      </w:r>
      <w:proofErr w:type="spellEnd"/>
      <w:r>
        <w:rPr>
          <w:sz w:val="20"/>
        </w:rPr>
        <w:t xml:space="preserve"> Crags, thence northwesterly along the extension of the northeasterly line of Lot 6 </w:t>
      </w:r>
      <w:proofErr w:type="spellStart"/>
      <w:r>
        <w:rPr>
          <w:sz w:val="20"/>
        </w:rPr>
        <w:t>Clarmar</w:t>
      </w:r>
      <w:proofErr w:type="spellEnd"/>
      <w:r>
        <w:rPr>
          <w:sz w:val="20"/>
        </w:rPr>
        <w:t xml:space="preserve"> Crags</w:t>
      </w:r>
      <w:r w:rsidR="00E83700">
        <w:rPr>
          <w:sz w:val="20"/>
        </w:rPr>
        <w:t xml:space="preserve"> approximately 5feet</w:t>
      </w:r>
      <w:r>
        <w:rPr>
          <w:sz w:val="20"/>
        </w:rPr>
        <w:t xml:space="preserve"> to the north east corner of tract 15, thence along the sout</w:t>
      </w:r>
      <w:r w:rsidR="00993E38">
        <w:rPr>
          <w:sz w:val="20"/>
        </w:rPr>
        <w:t xml:space="preserve">heasterly line of tract 15 </w:t>
      </w:r>
      <w:r w:rsidR="00E83700">
        <w:rPr>
          <w:sz w:val="20"/>
        </w:rPr>
        <w:t xml:space="preserve">approximately 21 feet </w:t>
      </w:r>
      <w:r w:rsidR="00993E38">
        <w:rPr>
          <w:sz w:val="20"/>
        </w:rPr>
        <w:t xml:space="preserve">to the point of beginning. </w:t>
      </w:r>
    </w:p>
    <w:p w:rsidR="00AB6952" w:rsidRPr="00B82BC5" w:rsidRDefault="00AB6952"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t>Adjacent Property Owners:</w:t>
      </w:r>
    </w:p>
    <w:p w:rsidR="0052042B" w:rsidRPr="00B137E8" w:rsidRDefault="0052042B" w:rsidP="00DA3A3A">
      <w:pPr>
        <w:rPr>
          <w:rFonts w:eastAsia="Calibri"/>
          <w:sz w:val="20"/>
        </w:rPr>
      </w:pPr>
    </w:p>
    <w:p w:rsidR="00DE5C84" w:rsidRPr="00B137E8" w:rsidRDefault="0011636D" w:rsidP="00DA3A3A">
      <w:pPr>
        <w:rPr>
          <w:rFonts w:eastAsia="Calibri"/>
          <w:sz w:val="20"/>
        </w:rPr>
      </w:pPr>
      <w:r w:rsidRPr="0011636D">
        <w:rPr>
          <w:rFonts w:eastAsia="Calibri"/>
          <w:sz w:val="20"/>
        </w:rPr>
        <w:t>013900-0080</w:t>
      </w:r>
      <w:r w:rsidR="00AB6952">
        <w:rPr>
          <w:rFonts w:eastAsia="Calibri"/>
          <w:sz w:val="20"/>
        </w:rPr>
        <w:t xml:space="preserve"> </w:t>
      </w:r>
    </w:p>
    <w:p w:rsidR="00DE5C84" w:rsidRPr="00B137E8" w:rsidRDefault="00AB6952" w:rsidP="00DA3A3A">
      <w:pPr>
        <w:rPr>
          <w:rFonts w:eastAsia="Calibri"/>
          <w:sz w:val="20"/>
        </w:rPr>
      </w:pPr>
      <w:r>
        <w:rPr>
          <w:rFonts w:eastAsia="Calibri"/>
          <w:sz w:val="20"/>
        </w:rPr>
        <w:t>Steven Quant</w:t>
      </w:r>
      <w:r>
        <w:rPr>
          <w:rFonts w:eastAsia="Calibri"/>
          <w:sz w:val="20"/>
        </w:rPr>
        <w:tab/>
        <w:t xml:space="preserve"> </w:t>
      </w:r>
    </w:p>
    <w:p w:rsidR="00DE5C84" w:rsidRPr="00B137E8" w:rsidRDefault="00AB6952" w:rsidP="00DA3A3A">
      <w:pPr>
        <w:rPr>
          <w:rFonts w:eastAsia="Calibri"/>
          <w:sz w:val="20"/>
        </w:rPr>
      </w:pPr>
      <w:r>
        <w:rPr>
          <w:rFonts w:eastAsia="Calibri"/>
          <w:sz w:val="20"/>
        </w:rPr>
        <w:t xml:space="preserve">1704 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DE5C84" w:rsidRPr="00B137E8"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AB6952">
        <w:rPr>
          <w:rFonts w:eastAsia="Calibri"/>
          <w:sz w:val="20"/>
        </w:rPr>
        <w:t>619,000</w:t>
      </w:r>
      <w:r w:rsidR="000C5ABA" w:rsidRPr="00B137E8">
        <w:rPr>
          <w:rFonts w:eastAsia="Calibri"/>
          <w:sz w:val="20"/>
        </w:rPr>
        <w:t xml:space="preserve">, </w:t>
      </w:r>
      <w:r w:rsidR="00AB6952">
        <w:rPr>
          <w:rFonts w:eastAsia="Calibri"/>
          <w:sz w:val="20"/>
        </w:rPr>
        <w:t>$</w:t>
      </w:r>
      <w:proofErr w:type="gramStart"/>
      <w:r w:rsidR="00AB6952">
        <w:rPr>
          <w:rFonts w:eastAsia="Calibri"/>
          <w:sz w:val="20"/>
        </w:rPr>
        <w:t>179.60</w:t>
      </w:r>
      <w:r w:rsidRPr="00B137E8">
        <w:rPr>
          <w:rFonts w:eastAsia="Calibri"/>
          <w:sz w:val="20"/>
        </w:rPr>
        <w:t xml:space="preserve">  per</w:t>
      </w:r>
      <w:proofErr w:type="gramEnd"/>
      <w:r w:rsidRPr="00B137E8">
        <w:rPr>
          <w:rFonts w:eastAsia="Calibri"/>
          <w:sz w:val="20"/>
        </w:rPr>
        <w:t xml:space="preserve"> sf</w:t>
      </w:r>
      <w:r w:rsidR="0052042B">
        <w:rPr>
          <w:rFonts w:eastAsia="Calibri"/>
          <w:sz w:val="20"/>
        </w:rPr>
        <w:tab/>
      </w:r>
      <w:r w:rsidR="0052042B">
        <w:rPr>
          <w:rFonts w:eastAsia="Calibri"/>
          <w:sz w:val="20"/>
        </w:rPr>
        <w:tab/>
      </w:r>
      <w:r w:rsidR="0052042B">
        <w:rPr>
          <w:rFonts w:eastAsia="Calibri"/>
          <w:sz w:val="20"/>
        </w:rPr>
        <w:tab/>
      </w:r>
      <w:r w:rsidR="00AB6952">
        <w:rPr>
          <w:rFonts w:eastAsia="Calibri"/>
          <w:sz w:val="20"/>
        </w:rPr>
        <w:t xml:space="preserve"> </w:t>
      </w:r>
    </w:p>
    <w:p w:rsidR="0052042B" w:rsidRPr="0052042B" w:rsidRDefault="0052042B" w:rsidP="0052042B">
      <w:pPr>
        <w:rPr>
          <w:rFonts w:eastAsia="Calibri"/>
          <w:sz w:val="20"/>
        </w:rPr>
      </w:pPr>
    </w:p>
    <w:p w:rsidR="0052042B" w:rsidRDefault="00AB6952" w:rsidP="0052042B">
      <w:pPr>
        <w:rPr>
          <w:rFonts w:eastAsia="Calibri"/>
          <w:sz w:val="20"/>
        </w:rPr>
      </w:pPr>
      <w:r>
        <w:rPr>
          <w:rFonts w:eastAsia="Calibri"/>
          <w:sz w:val="20"/>
        </w:rPr>
        <w:t>162030 0025</w:t>
      </w:r>
    </w:p>
    <w:p w:rsidR="00AB6952" w:rsidRPr="0052042B" w:rsidRDefault="00AB6952" w:rsidP="0052042B">
      <w:pPr>
        <w:rPr>
          <w:rFonts w:eastAsia="Calibri"/>
          <w:sz w:val="20"/>
        </w:rPr>
      </w:pPr>
      <w:r>
        <w:rPr>
          <w:rFonts w:eastAsia="Calibri"/>
          <w:sz w:val="20"/>
        </w:rPr>
        <w:t>Gregory Brackett</w:t>
      </w:r>
    </w:p>
    <w:p w:rsidR="0052042B" w:rsidRDefault="00AB6952" w:rsidP="0052042B">
      <w:pPr>
        <w:rPr>
          <w:rFonts w:eastAsia="Calibri"/>
          <w:sz w:val="20"/>
        </w:rPr>
      </w:pPr>
      <w:r>
        <w:rPr>
          <w:rFonts w:eastAsia="Calibri"/>
          <w:sz w:val="20"/>
        </w:rPr>
        <w:t xml:space="preserve">17473 SE Cougar Mountain Dr. </w:t>
      </w:r>
    </w:p>
    <w:p w:rsidR="00AB6952" w:rsidRDefault="00AB6952" w:rsidP="0052042B">
      <w:pPr>
        <w:rPr>
          <w:rFonts w:eastAsia="Calibri"/>
          <w:sz w:val="20"/>
        </w:rPr>
      </w:pPr>
      <w:r>
        <w:rPr>
          <w:rFonts w:eastAsia="Calibri"/>
          <w:sz w:val="20"/>
        </w:rPr>
        <w:t>Bellevue, WA 98006</w:t>
      </w:r>
    </w:p>
    <w:p w:rsidR="00AB6952" w:rsidRDefault="0023395D" w:rsidP="0052042B">
      <w:pPr>
        <w:rPr>
          <w:rFonts w:eastAsia="Calibri"/>
          <w:sz w:val="20"/>
        </w:rPr>
      </w:pPr>
      <w:hyperlink r:id="rId15" w:history="1">
        <w:r w:rsidR="00AB6952" w:rsidRPr="00471F96">
          <w:rPr>
            <w:rStyle w:val="Hyperlink"/>
            <w:rFonts w:eastAsia="Calibri"/>
            <w:sz w:val="20"/>
          </w:rPr>
          <w:t>greg@bellevuenissan.com</w:t>
        </w:r>
      </w:hyperlink>
    </w:p>
    <w:p w:rsidR="00AB6952" w:rsidRPr="0052042B" w:rsidRDefault="00AB6952" w:rsidP="0052042B">
      <w:pPr>
        <w:rPr>
          <w:rFonts w:eastAsia="Calibri"/>
          <w:sz w:val="20"/>
        </w:rPr>
      </w:pPr>
      <w:r>
        <w:rPr>
          <w:rFonts w:eastAsia="Calibri"/>
          <w:sz w:val="20"/>
        </w:rPr>
        <w:t>425-269-3559</w:t>
      </w:r>
    </w:p>
    <w:p w:rsidR="0052042B" w:rsidRPr="0052042B" w:rsidRDefault="0052042B" w:rsidP="0052042B">
      <w:pPr>
        <w:rPr>
          <w:rFonts w:eastAsia="Calibri"/>
          <w:sz w:val="20"/>
        </w:rPr>
      </w:pPr>
      <w:r>
        <w:rPr>
          <w:rFonts w:eastAsia="Calibri"/>
          <w:sz w:val="20"/>
        </w:rPr>
        <w:t>Land value: $</w:t>
      </w:r>
      <w:r w:rsidR="00AB6952">
        <w:rPr>
          <w:rFonts w:eastAsia="Calibri"/>
          <w:sz w:val="20"/>
        </w:rPr>
        <w:t>5,000, $1.96</w:t>
      </w:r>
      <w:r w:rsidRPr="0052042B">
        <w:rPr>
          <w:rFonts w:eastAsia="Calibri"/>
          <w:sz w:val="20"/>
        </w:rPr>
        <w:t xml:space="preserve"> per sf</w:t>
      </w:r>
      <w:r w:rsidRPr="0052042B">
        <w:rPr>
          <w:rFonts w:eastAsia="Calibri"/>
          <w:sz w:val="20"/>
        </w:rPr>
        <w:tab/>
      </w:r>
      <w:r w:rsidR="00AB6952">
        <w:rPr>
          <w:rFonts w:eastAsia="Calibri"/>
          <w:sz w:val="20"/>
        </w:rPr>
        <w:t xml:space="preserve"> </w:t>
      </w: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23395D">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DB2D5B">
      <w:rPr>
        <w:sz w:val="12"/>
        <w:szCs w:val="12"/>
      </w:rPr>
      <w:t>December 4</w:t>
    </w:r>
    <w:r w:rsidR="00794C12">
      <w:rPr>
        <w:sz w:val="12"/>
        <w:szCs w:val="12"/>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7C99"/>
    <w:rsid w:val="00032366"/>
    <w:rsid w:val="0008403A"/>
    <w:rsid w:val="000A1CCC"/>
    <w:rsid w:val="000C2121"/>
    <w:rsid w:val="000C5ABA"/>
    <w:rsid w:val="000D034F"/>
    <w:rsid w:val="000E172A"/>
    <w:rsid w:val="00101B0F"/>
    <w:rsid w:val="0011636D"/>
    <w:rsid w:val="0013125A"/>
    <w:rsid w:val="00146719"/>
    <w:rsid w:val="00164EB9"/>
    <w:rsid w:val="001840FF"/>
    <w:rsid w:val="001948EC"/>
    <w:rsid w:val="00196C3B"/>
    <w:rsid w:val="001B6FEE"/>
    <w:rsid w:val="001C4948"/>
    <w:rsid w:val="001E53B8"/>
    <w:rsid w:val="001F43F8"/>
    <w:rsid w:val="00207473"/>
    <w:rsid w:val="0023395D"/>
    <w:rsid w:val="00250FED"/>
    <w:rsid w:val="00255DC9"/>
    <w:rsid w:val="00265546"/>
    <w:rsid w:val="00280F49"/>
    <w:rsid w:val="00283CD4"/>
    <w:rsid w:val="00294AFE"/>
    <w:rsid w:val="002B44D3"/>
    <w:rsid w:val="002D7DFF"/>
    <w:rsid w:val="002E3651"/>
    <w:rsid w:val="002E5832"/>
    <w:rsid w:val="00307345"/>
    <w:rsid w:val="00333C3A"/>
    <w:rsid w:val="0033425E"/>
    <w:rsid w:val="0036303A"/>
    <w:rsid w:val="0036327E"/>
    <w:rsid w:val="00365CEE"/>
    <w:rsid w:val="003705BF"/>
    <w:rsid w:val="00391C77"/>
    <w:rsid w:val="0039799A"/>
    <w:rsid w:val="003C22E2"/>
    <w:rsid w:val="003D5FD2"/>
    <w:rsid w:val="00420109"/>
    <w:rsid w:val="0042251B"/>
    <w:rsid w:val="00443931"/>
    <w:rsid w:val="0044466D"/>
    <w:rsid w:val="0044776E"/>
    <w:rsid w:val="004631D5"/>
    <w:rsid w:val="0047224D"/>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4F8F"/>
    <w:rsid w:val="00555469"/>
    <w:rsid w:val="00556142"/>
    <w:rsid w:val="00562DC4"/>
    <w:rsid w:val="00577389"/>
    <w:rsid w:val="00585EF5"/>
    <w:rsid w:val="005B4BA3"/>
    <w:rsid w:val="005E2975"/>
    <w:rsid w:val="005F27C8"/>
    <w:rsid w:val="0063392D"/>
    <w:rsid w:val="00633C72"/>
    <w:rsid w:val="00645998"/>
    <w:rsid w:val="00656787"/>
    <w:rsid w:val="00667321"/>
    <w:rsid w:val="006A07B5"/>
    <w:rsid w:val="006B0D5D"/>
    <w:rsid w:val="006C5873"/>
    <w:rsid w:val="006D1126"/>
    <w:rsid w:val="006E2037"/>
    <w:rsid w:val="006F0F12"/>
    <w:rsid w:val="007439C1"/>
    <w:rsid w:val="00755A01"/>
    <w:rsid w:val="00757B05"/>
    <w:rsid w:val="007879CB"/>
    <w:rsid w:val="00790C95"/>
    <w:rsid w:val="00794C12"/>
    <w:rsid w:val="007A6A35"/>
    <w:rsid w:val="007C46AE"/>
    <w:rsid w:val="007E56FE"/>
    <w:rsid w:val="007F35A8"/>
    <w:rsid w:val="008311D1"/>
    <w:rsid w:val="00835B36"/>
    <w:rsid w:val="00837A88"/>
    <w:rsid w:val="008409EA"/>
    <w:rsid w:val="00894283"/>
    <w:rsid w:val="008A0EB8"/>
    <w:rsid w:val="008A1FB0"/>
    <w:rsid w:val="008C26D3"/>
    <w:rsid w:val="008E73BA"/>
    <w:rsid w:val="008F701B"/>
    <w:rsid w:val="00903AC2"/>
    <w:rsid w:val="00910077"/>
    <w:rsid w:val="00914B02"/>
    <w:rsid w:val="00927340"/>
    <w:rsid w:val="0094086C"/>
    <w:rsid w:val="009479E0"/>
    <w:rsid w:val="00953026"/>
    <w:rsid w:val="00953084"/>
    <w:rsid w:val="009564F0"/>
    <w:rsid w:val="0097564A"/>
    <w:rsid w:val="009823E0"/>
    <w:rsid w:val="00983923"/>
    <w:rsid w:val="0098755F"/>
    <w:rsid w:val="009925FB"/>
    <w:rsid w:val="00993E38"/>
    <w:rsid w:val="009A0168"/>
    <w:rsid w:val="009A0207"/>
    <w:rsid w:val="009A4616"/>
    <w:rsid w:val="009E0A50"/>
    <w:rsid w:val="00A00DF1"/>
    <w:rsid w:val="00A01477"/>
    <w:rsid w:val="00A325B2"/>
    <w:rsid w:val="00A34A96"/>
    <w:rsid w:val="00A36EA7"/>
    <w:rsid w:val="00A6344A"/>
    <w:rsid w:val="00A97D10"/>
    <w:rsid w:val="00AA50FF"/>
    <w:rsid w:val="00AB6952"/>
    <w:rsid w:val="00AC55D7"/>
    <w:rsid w:val="00AD5766"/>
    <w:rsid w:val="00AE3316"/>
    <w:rsid w:val="00B137E8"/>
    <w:rsid w:val="00B73E58"/>
    <w:rsid w:val="00B82BC5"/>
    <w:rsid w:val="00B85866"/>
    <w:rsid w:val="00BB0570"/>
    <w:rsid w:val="00BD3F46"/>
    <w:rsid w:val="00BD56E5"/>
    <w:rsid w:val="00BD598A"/>
    <w:rsid w:val="00BE2778"/>
    <w:rsid w:val="00BE3B4F"/>
    <w:rsid w:val="00BE6B70"/>
    <w:rsid w:val="00BF234A"/>
    <w:rsid w:val="00BF6597"/>
    <w:rsid w:val="00C109D8"/>
    <w:rsid w:val="00C1559E"/>
    <w:rsid w:val="00C21861"/>
    <w:rsid w:val="00C4128F"/>
    <w:rsid w:val="00C54A8B"/>
    <w:rsid w:val="00C552C2"/>
    <w:rsid w:val="00C819F1"/>
    <w:rsid w:val="00CA5F3B"/>
    <w:rsid w:val="00CF4FC1"/>
    <w:rsid w:val="00CF7D8E"/>
    <w:rsid w:val="00D01F51"/>
    <w:rsid w:val="00D30FA8"/>
    <w:rsid w:val="00D36AB8"/>
    <w:rsid w:val="00D5625A"/>
    <w:rsid w:val="00D56C8E"/>
    <w:rsid w:val="00D74D25"/>
    <w:rsid w:val="00DA3A3A"/>
    <w:rsid w:val="00DB2D5B"/>
    <w:rsid w:val="00DC112A"/>
    <w:rsid w:val="00DC15A3"/>
    <w:rsid w:val="00DE26E8"/>
    <w:rsid w:val="00DE4FF7"/>
    <w:rsid w:val="00DE5927"/>
    <w:rsid w:val="00DE5C84"/>
    <w:rsid w:val="00DF127D"/>
    <w:rsid w:val="00E06B5A"/>
    <w:rsid w:val="00E13A68"/>
    <w:rsid w:val="00E74465"/>
    <w:rsid w:val="00E83700"/>
    <w:rsid w:val="00EA14B3"/>
    <w:rsid w:val="00EA181B"/>
    <w:rsid w:val="00EB443A"/>
    <w:rsid w:val="00EB7605"/>
    <w:rsid w:val="00ED348A"/>
    <w:rsid w:val="00EF2CA4"/>
    <w:rsid w:val="00EF328A"/>
    <w:rsid w:val="00F017DA"/>
    <w:rsid w:val="00F20791"/>
    <w:rsid w:val="00F5681A"/>
    <w:rsid w:val="00F749EC"/>
    <w:rsid w:val="00F92905"/>
    <w:rsid w:val="00F968CE"/>
    <w:rsid w:val="00F97478"/>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archives/Ordinances/Ord_110170.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Library\Ordinances\Ord_88399a.pdf" TargetMode="External"/><Relationship Id="rId5" Type="http://schemas.openxmlformats.org/officeDocument/2006/relationships/settings" Target="settings.xml"/><Relationship Id="rId15" Type="http://schemas.openxmlformats.org/officeDocument/2006/relationships/hyperlink" Target="mailto:greg@bellevuenissan.com"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atlong.net/c/?lat=47.588004&amp;long=-122.395308" TargetMode="External"/><Relationship Id="rId14"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E7770-FDB2-4CAE-939A-10106F28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Bretzke</dc:creator>
  <cp:lastModifiedBy>Bretzke, Daniel</cp:lastModifiedBy>
  <cp:revision>30</cp:revision>
  <cp:lastPrinted>2015-11-30T23:32:00Z</cp:lastPrinted>
  <dcterms:created xsi:type="dcterms:W3CDTF">2015-06-15T22:26:00Z</dcterms:created>
  <dcterms:modified xsi:type="dcterms:W3CDTF">2015-12-02T20:25:00Z</dcterms:modified>
</cp:coreProperties>
</file>