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5"/>
        <w:gridCol w:w="1624"/>
        <w:gridCol w:w="4895"/>
        <w:gridCol w:w="7165"/>
      </w:tblGrid>
      <w:tr w:rsidR="00A264EB" w14:paraId="448B8573" w14:textId="77777777" w:rsidTr="003C24A4">
        <w:trPr>
          <w:trHeight w:val="258"/>
          <w:tblHeader/>
        </w:trPr>
        <w:tc>
          <w:tcPr>
            <w:tcW w:w="445" w:type="dxa"/>
            <w:shd w:val="clear" w:color="auto" w:fill="DBE5F1" w:themeFill="accent1" w:themeFillTint="33"/>
          </w:tcPr>
          <w:p w14:paraId="019CE37D" w14:textId="77777777" w:rsidR="00A264EB" w:rsidRPr="00504E5E" w:rsidRDefault="00A264EB">
            <w:pPr>
              <w:rPr>
                <w:b/>
              </w:rPr>
            </w:pPr>
          </w:p>
        </w:tc>
        <w:tc>
          <w:tcPr>
            <w:tcW w:w="1624" w:type="dxa"/>
            <w:shd w:val="clear" w:color="auto" w:fill="DBE5F1" w:themeFill="accent1" w:themeFillTint="33"/>
          </w:tcPr>
          <w:p w14:paraId="7ACFD746" w14:textId="77777777" w:rsidR="00A264EB" w:rsidRPr="00504E5E" w:rsidRDefault="00A264EB" w:rsidP="004F4735">
            <w:pPr>
              <w:rPr>
                <w:b/>
              </w:rPr>
            </w:pPr>
            <w:r>
              <w:rPr>
                <w:b/>
              </w:rPr>
              <w:t>Program A</w:t>
            </w:r>
            <w:r w:rsidRPr="00504E5E">
              <w:rPr>
                <w:b/>
              </w:rPr>
              <w:t>rea</w:t>
            </w:r>
          </w:p>
        </w:tc>
        <w:tc>
          <w:tcPr>
            <w:tcW w:w="4895" w:type="dxa"/>
            <w:shd w:val="clear" w:color="auto" w:fill="DBE5F1" w:themeFill="accent1" w:themeFillTint="33"/>
          </w:tcPr>
          <w:p w14:paraId="1282805C" w14:textId="77777777" w:rsidR="00A264EB" w:rsidRPr="00504E5E" w:rsidRDefault="00A264EB">
            <w:pPr>
              <w:rPr>
                <w:b/>
              </w:rPr>
            </w:pPr>
            <w:r w:rsidRPr="00504E5E">
              <w:rPr>
                <w:b/>
              </w:rPr>
              <w:t>Question</w:t>
            </w:r>
          </w:p>
        </w:tc>
        <w:tc>
          <w:tcPr>
            <w:tcW w:w="7165" w:type="dxa"/>
            <w:shd w:val="clear" w:color="auto" w:fill="DBE5F1" w:themeFill="accent1" w:themeFillTint="33"/>
          </w:tcPr>
          <w:p w14:paraId="3383060A" w14:textId="77777777" w:rsidR="00A264EB" w:rsidRPr="00504E5E" w:rsidRDefault="00A264EB">
            <w:pPr>
              <w:rPr>
                <w:b/>
              </w:rPr>
            </w:pPr>
            <w:r>
              <w:rPr>
                <w:b/>
              </w:rPr>
              <w:t>Answer</w:t>
            </w:r>
          </w:p>
        </w:tc>
      </w:tr>
      <w:tr w:rsidR="00A264EB" w:rsidRPr="00F63073" w14:paraId="7C78B8C7" w14:textId="77777777" w:rsidTr="003C24A4">
        <w:trPr>
          <w:trHeight w:val="270"/>
        </w:trPr>
        <w:tc>
          <w:tcPr>
            <w:tcW w:w="445" w:type="dxa"/>
          </w:tcPr>
          <w:p w14:paraId="378B621F" w14:textId="77777777" w:rsidR="00A264EB" w:rsidRPr="004E5317" w:rsidRDefault="00A264EB" w:rsidP="00A264EB">
            <w:r w:rsidRPr="004E5317">
              <w:rPr>
                <w:rFonts w:ascii="Calibri" w:hAnsi="Calibri"/>
                <w:color w:val="000000"/>
              </w:rPr>
              <w:t>1</w:t>
            </w:r>
          </w:p>
        </w:tc>
        <w:tc>
          <w:tcPr>
            <w:tcW w:w="1624" w:type="dxa"/>
          </w:tcPr>
          <w:p w14:paraId="794014D4" w14:textId="77777777" w:rsidR="00A264EB" w:rsidRPr="004E5317" w:rsidRDefault="004E5317" w:rsidP="00A264EB">
            <w:r>
              <w:t>Storage</w:t>
            </w:r>
          </w:p>
        </w:tc>
        <w:tc>
          <w:tcPr>
            <w:tcW w:w="4895" w:type="dxa"/>
          </w:tcPr>
          <w:p w14:paraId="2A6BF37E" w14:textId="77777777" w:rsidR="00A264EB" w:rsidRPr="004E5317" w:rsidRDefault="004E5317" w:rsidP="00A264EB">
            <w:r>
              <w:t>Can storage be added to existing shelter programs or is it only for new programs?</w:t>
            </w:r>
          </w:p>
        </w:tc>
        <w:tc>
          <w:tcPr>
            <w:tcW w:w="7165" w:type="dxa"/>
          </w:tcPr>
          <w:p w14:paraId="0A68E099" w14:textId="77777777" w:rsidR="00A264EB" w:rsidRDefault="004E5317" w:rsidP="00A264EB">
            <w:pPr>
              <w:tabs>
                <w:tab w:val="left" w:pos="360"/>
                <w:tab w:val="left" w:pos="540"/>
                <w:tab w:val="left" w:pos="630"/>
              </w:tabs>
            </w:pPr>
            <w:r>
              <w:t xml:space="preserve">Yes, storage can be added to existing shelter programs as well as new ones. </w:t>
            </w:r>
            <w:r w:rsidR="004E499B">
              <w:t xml:space="preserve">The application must clearly identify </w:t>
            </w:r>
            <w:r w:rsidR="00D06CE8">
              <w:t xml:space="preserve">whether the proposed storage is </w:t>
            </w:r>
            <w:r w:rsidR="006E2EC4">
              <w:t xml:space="preserve">intended to enhance an existing program or intended to be dedicated to newly created shelter beds. Please refer to page 4 of the RFP (Section I, </w:t>
            </w:r>
            <w:r w:rsidR="0040184F">
              <w:t xml:space="preserve">number </w:t>
            </w:r>
            <w:r w:rsidR="006E2EC4">
              <w:t xml:space="preserve">2). </w:t>
            </w:r>
          </w:p>
          <w:p w14:paraId="747D0D6B" w14:textId="77777777" w:rsidR="00CD0692" w:rsidRPr="004E5317" w:rsidRDefault="00CD0692" w:rsidP="00A264EB">
            <w:pPr>
              <w:tabs>
                <w:tab w:val="left" w:pos="360"/>
                <w:tab w:val="left" w:pos="540"/>
                <w:tab w:val="left" w:pos="630"/>
              </w:tabs>
            </w:pPr>
          </w:p>
        </w:tc>
      </w:tr>
      <w:tr w:rsidR="00A264EB" w:rsidRPr="00F63073" w14:paraId="76B34701" w14:textId="77777777" w:rsidTr="003C24A4">
        <w:trPr>
          <w:trHeight w:val="270"/>
        </w:trPr>
        <w:tc>
          <w:tcPr>
            <w:tcW w:w="445" w:type="dxa"/>
          </w:tcPr>
          <w:p w14:paraId="3E55B4B0" w14:textId="77777777" w:rsidR="00A264EB" w:rsidRPr="004E5317" w:rsidRDefault="00A264EB" w:rsidP="00A264EB">
            <w:r w:rsidRPr="004E5317">
              <w:rPr>
                <w:rFonts w:ascii="Calibri" w:hAnsi="Calibri"/>
                <w:color w:val="000000"/>
              </w:rPr>
              <w:t>2</w:t>
            </w:r>
          </w:p>
        </w:tc>
        <w:tc>
          <w:tcPr>
            <w:tcW w:w="1624" w:type="dxa"/>
          </w:tcPr>
          <w:p w14:paraId="79018A4B" w14:textId="77777777" w:rsidR="00A264EB" w:rsidRPr="004E5317" w:rsidRDefault="00434441" w:rsidP="00A264EB">
            <w:r>
              <w:t>Shelter</w:t>
            </w:r>
          </w:p>
        </w:tc>
        <w:tc>
          <w:tcPr>
            <w:tcW w:w="4895" w:type="dxa"/>
          </w:tcPr>
          <w:p w14:paraId="4B234E97" w14:textId="77777777" w:rsidR="00A264EB" w:rsidRPr="004E5317" w:rsidRDefault="00434441" w:rsidP="00A264EB">
            <w:r>
              <w:t>If a client is already using shelter and declines the assessment for Coordinated Entry, can they stay or would they have to leave under the program requirements in this RFP?</w:t>
            </w:r>
          </w:p>
        </w:tc>
        <w:tc>
          <w:tcPr>
            <w:tcW w:w="7165" w:type="dxa"/>
          </w:tcPr>
          <w:p w14:paraId="248ACDB3" w14:textId="77777777" w:rsidR="00BB4E39" w:rsidRDefault="00434441" w:rsidP="00BB4E39">
            <w:r>
              <w:t>No, the shelter does not have to ask them to leave immediately</w:t>
            </w:r>
            <w:r w:rsidR="00146D3D">
              <w:t xml:space="preserve">. </w:t>
            </w:r>
            <w:r>
              <w:t xml:space="preserve">However, </w:t>
            </w:r>
            <w:r w:rsidR="0040184F">
              <w:t xml:space="preserve">the intent of the funding is to support clients in </w:t>
            </w:r>
            <w:r>
              <w:t>exiting to housing</w:t>
            </w:r>
            <w:r w:rsidR="00CD0692">
              <w:t>.</w:t>
            </w:r>
            <w:r w:rsidR="0040184F">
              <w:t xml:space="preserve"> Please refer to page 7 </w:t>
            </w:r>
            <w:r w:rsidR="006641A9">
              <w:t>of the RFP</w:t>
            </w:r>
            <w:r w:rsidR="00CD0692">
              <w:t xml:space="preserve"> </w:t>
            </w:r>
            <w:r w:rsidR="0040184F">
              <w:t>(Section III, Supportive Services, and Se</w:t>
            </w:r>
            <w:r w:rsidR="006641A9">
              <w:t>ction III, Performance Measures.)</w:t>
            </w:r>
            <w:r>
              <w:t xml:space="preserve">  If</w:t>
            </w:r>
            <w:r w:rsidR="0040184F">
              <w:t xml:space="preserve"> clients</w:t>
            </w:r>
            <w:r>
              <w:t xml:space="preserve"> need more intensive services</w:t>
            </w:r>
            <w:r w:rsidR="0048462F">
              <w:t>,</w:t>
            </w:r>
            <w:r>
              <w:t xml:space="preserve"> the shelter provider needs to work to create </w:t>
            </w:r>
            <w:r w:rsidR="0048462F">
              <w:t xml:space="preserve">those </w:t>
            </w:r>
            <w:r>
              <w:t>linkage</w:t>
            </w:r>
            <w:r w:rsidR="0048462F">
              <w:t>s</w:t>
            </w:r>
            <w:r w:rsidR="00146D3D">
              <w:t xml:space="preserve">. </w:t>
            </w:r>
            <w:r w:rsidR="00BB4E39">
              <w:t xml:space="preserve">For more information about CEA please refer to the </w:t>
            </w:r>
            <w:hyperlink r:id="rId10" w:history="1">
              <w:r w:rsidR="00BB4E39" w:rsidRPr="00BB4E39">
                <w:rPr>
                  <w:rStyle w:val="Hyperlink"/>
                </w:rPr>
                <w:t>CEA Operations Manual</w:t>
              </w:r>
            </w:hyperlink>
          </w:p>
          <w:p w14:paraId="7C021381" w14:textId="77777777" w:rsidR="00A264EB" w:rsidRPr="004E5317" w:rsidRDefault="00A264EB" w:rsidP="00A264EB"/>
        </w:tc>
      </w:tr>
      <w:tr w:rsidR="00A264EB" w14:paraId="25D366BC" w14:textId="77777777" w:rsidTr="003C24A4">
        <w:trPr>
          <w:trHeight w:val="270"/>
        </w:trPr>
        <w:tc>
          <w:tcPr>
            <w:tcW w:w="445" w:type="dxa"/>
          </w:tcPr>
          <w:p w14:paraId="56B7D70A" w14:textId="77777777" w:rsidR="00A264EB" w:rsidRPr="004E5317" w:rsidRDefault="00A264EB" w:rsidP="00A264EB">
            <w:r w:rsidRPr="004E5317">
              <w:rPr>
                <w:rFonts w:ascii="Calibri" w:hAnsi="Calibri"/>
                <w:color w:val="000000"/>
              </w:rPr>
              <w:t>3</w:t>
            </w:r>
          </w:p>
        </w:tc>
        <w:tc>
          <w:tcPr>
            <w:tcW w:w="1624" w:type="dxa"/>
          </w:tcPr>
          <w:p w14:paraId="65C18734" w14:textId="77777777" w:rsidR="00A264EB" w:rsidRPr="004E5317" w:rsidRDefault="004C3074" w:rsidP="00A264EB">
            <w:r>
              <w:t>Storage/Shelter</w:t>
            </w:r>
          </w:p>
        </w:tc>
        <w:tc>
          <w:tcPr>
            <w:tcW w:w="4895" w:type="dxa"/>
          </w:tcPr>
          <w:p w14:paraId="4C6CB74C" w14:textId="77777777" w:rsidR="00A264EB" w:rsidRPr="004E5317" w:rsidRDefault="0048462F" w:rsidP="00A264EB">
            <w:r>
              <w:t>Does the 10</w:t>
            </w:r>
            <w:r w:rsidR="004C3074">
              <w:t>-</w:t>
            </w:r>
            <w:r>
              <w:t>page limit on the Narrative response include graphics?</w:t>
            </w:r>
          </w:p>
        </w:tc>
        <w:tc>
          <w:tcPr>
            <w:tcW w:w="7165" w:type="dxa"/>
          </w:tcPr>
          <w:p w14:paraId="01C0BD8C" w14:textId="77777777" w:rsidR="00A264EB" w:rsidRDefault="0048462F" w:rsidP="00A264EB">
            <w:r>
              <w:t xml:space="preserve">Yes, graphics </w:t>
            </w:r>
            <w:r w:rsidR="004C3074">
              <w:t xml:space="preserve">would </w:t>
            </w:r>
            <w:r>
              <w:t>be included in the 10</w:t>
            </w:r>
            <w:r w:rsidR="004C3074">
              <w:t>-</w:t>
            </w:r>
            <w:r>
              <w:t>page limit</w:t>
            </w:r>
            <w:r w:rsidR="00146D3D">
              <w:t xml:space="preserve">. </w:t>
            </w:r>
            <w:r w:rsidR="006641A9">
              <w:t>Please refer to page 13 of the RFP (Section II</w:t>
            </w:r>
            <w:r w:rsidR="000102BD">
              <w:t xml:space="preserve"> A.</w:t>
            </w:r>
            <w:r w:rsidR="006641A9">
              <w:t xml:space="preserve"> Format Instructions)</w:t>
            </w:r>
            <w:r>
              <w:t>.</w:t>
            </w:r>
          </w:p>
          <w:p w14:paraId="5A345CA7" w14:textId="77777777" w:rsidR="00CD0692" w:rsidRPr="004E5317" w:rsidRDefault="00CD0692" w:rsidP="00A264EB"/>
        </w:tc>
      </w:tr>
      <w:tr w:rsidR="00A264EB" w14:paraId="6A707D2B" w14:textId="77777777" w:rsidTr="003C24A4">
        <w:trPr>
          <w:trHeight w:val="270"/>
        </w:trPr>
        <w:tc>
          <w:tcPr>
            <w:tcW w:w="445" w:type="dxa"/>
          </w:tcPr>
          <w:p w14:paraId="3A1912A3" w14:textId="77777777" w:rsidR="00A264EB" w:rsidRPr="004E5317" w:rsidRDefault="0048462F" w:rsidP="00A264EB">
            <w:r>
              <w:t>4</w:t>
            </w:r>
          </w:p>
        </w:tc>
        <w:tc>
          <w:tcPr>
            <w:tcW w:w="1624" w:type="dxa"/>
          </w:tcPr>
          <w:p w14:paraId="6EECD6F8" w14:textId="77777777" w:rsidR="00A264EB" w:rsidRPr="004E5317" w:rsidRDefault="0048462F" w:rsidP="00A264EB">
            <w:r>
              <w:t>Shelter</w:t>
            </w:r>
          </w:p>
        </w:tc>
        <w:tc>
          <w:tcPr>
            <w:tcW w:w="4895" w:type="dxa"/>
          </w:tcPr>
          <w:p w14:paraId="0EFFED8B" w14:textId="77777777" w:rsidR="00A264EB" w:rsidRPr="004E5317" w:rsidRDefault="0048462F" w:rsidP="00A264EB">
            <w:r>
              <w:t>How does this RFP for additional shelter beds fit with the Navigation Center?</w:t>
            </w:r>
          </w:p>
        </w:tc>
        <w:tc>
          <w:tcPr>
            <w:tcW w:w="7165" w:type="dxa"/>
          </w:tcPr>
          <w:p w14:paraId="0B48B44F" w14:textId="77777777" w:rsidR="00D14B62" w:rsidRPr="00A955AE" w:rsidRDefault="0048462F" w:rsidP="00D14B62">
            <w:pPr>
              <w:pStyle w:val="CommentText"/>
              <w:rPr>
                <w:sz w:val="22"/>
                <w:szCs w:val="22"/>
              </w:rPr>
            </w:pPr>
            <w:r w:rsidRPr="00A955AE">
              <w:rPr>
                <w:sz w:val="22"/>
                <w:szCs w:val="22"/>
              </w:rPr>
              <w:t xml:space="preserve">This RFP is to add capacity and dedicated </w:t>
            </w:r>
            <w:r w:rsidR="00BB4E39" w:rsidRPr="00A955AE">
              <w:rPr>
                <w:sz w:val="22"/>
                <w:szCs w:val="22"/>
              </w:rPr>
              <w:t xml:space="preserve">low barrier </w:t>
            </w:r>
            <w:r w:rsidRPr="00A955AE">
              <w:rPr>
                <w:sz w:val="22"/>
                <w:szCs w:val="22"/>
              </w:rPr>
              <w:t>shelter beds for referral by city-funded outreach.</w:t>
            </w:r>
            <w:r w:rsidR="00D14B62" w:rsidRPr="00A955AE">
              <w:rPr>
                <w:sz w:val="22"/>
                <w:szCs w:val="22"/>
              </w:rPr>
              <w:t xml:space="preserve"> The Navigation Center was its own RFQ. This RFP is in response to the need for additional low barrier shelter beds and both are part of the City’s overarching </w:t>
            </w:r>
            <w:hyperlink r:id="rId11" w:history="1">
              <w:r w:rsidR="00D14B62" w:rsidRPr="00A955AE">
                <w:rPr>
                  <w:rStyle w:val="Hyperlink"/>
                  <w:sz w:val="22"/>
                  <w:szCs w:val="22"/>
                </w:rPr>
                <w:t>Pathway’s Home</w:t>
              </w:r>
            </w:hyperlink>
            <w:r w:rsidR="00D14B62" w:rsidRPr="00A955AE">
              <w:rPr>
                <w:sz w:val="22"/>
                <w:szCs w:val="22"/>
              </w:rPr>
              <w:t xml:space="preserve"> and </w:t>
            </w:r>
            <w:hyperlink r:id="rId12" w:history="1">
              <w:r w:rsidR="00D14B62" w:rsidRPr="00A955AE">
                <w:rPr>
                  <w:rStyle w:val="Hyperlink"/>
                  <w:sz w:val="22"/>
                  <w:szCs w:val="22"/>
                </w:rPr>
                <w:t>Bridging the Gap to Pathways Home</w:t>
              </w:r>
            </w:hyperlink>
            <w:r w:rsidR="00D14B62" w:rsidRPr="00A955AE">
              <w:rPr>
                <w:sz w:val="22"/>
                <w:szCs w:val="22"/>
              </w:rPr>
              <w:t xml:space="preserve"> plans.</w:t>
            </w:r>
          </w:p>
          <w:p w14:paraId="7F39E0C2" w14:textId="77777777" w:rsidR="00A264EB" w:rsidRPr="007B4E87" w:rsidRDefault="00A264EB" w:rsidP="00A264EB"/>
        </w:tc>
      </w:tr>
      <w:tr w:rsidR="00A264EB" w14:paraId="127647CF" w14:textId="77777777" w:rsidTr="003C24A4">
        <w:trPr>
          <w:trHeight w:val="270"/>
        </w:trPr>
        <w:tc>
          <w:tcPr>
            <w:tcW w:w="445" w:type="dxa"/>
          </w:tcPr>
          <w:p w14:paraId="787EBCD9" w14:textId="77777777" w:rsidR="00A264EB" w:rsidRDefault="0048462F" w:rsidP="00A264EB">
            <w:r>
              <w:t>5</w:t>
            </w:r>
          </w:p>
        </w:tc>
        <w:tc>
          <w:tcPr>
            <w:tcW w:w="1624" w:type="dxa"/>
          </w:tcPr>
          <w:p w14:paraId="311FD60E" w14:textId="77777777" w:rsidR="00A264EB" w:rsidRPr="004E5317" w:rsidRDefault="0048462F" w:rsidP="00A264EB">
            <w:r>
              <w:t>Shelter</w:t>
            </w:r>
          </w:p>
        </w:tc>
        <w:tc>
          <w:tcPr>
            <w:tcW w:w="4895" w:type="dxa"/>
          </w:tcPr>
          <w:p w14:paraId="2D63AF6E" w14:textId="77777777" w:rsidR="00A264EB" w:rsidRDefault="0048462F" w:rsidP="00A264EB">
            <w:r>
              <w:t>Will we be able to apply to the Pathways Home funding process if we don’t apply for Shelter and Storage funds?</w:t>
            </w:r>
          </w:p>
          <w:p w14:paraId="644DC85B" w14:textId="77777777" w:rsidR="00787B21" w:rsidRDefault="00787B21" w:rsidP="00A264EB"/>
          <w:p w14:paraId="170C2A25" w14:textId="77777777" w:rsidR="00787B21" w:rsidRPr="004E5317" w:rsidRDefault="00787B21" w:rsidP="00A264EB"/>
        </w:tc>
        <w:tc>
          <w:tcPr>
            <w:tcW w:w="7165" w:type="dxa"/>
          </w:tcPr>
          <w:p w14:paraId="48B9942C" w14:textId="77777777" w:rsidR="00A264EB" w:rsidRPr="004E5317" w:rsidRDefault="0048462F" w:rsidP="00A264EB">
            <w:r>
              <w:t>Yes</w:t>
            </w:r>
            <w:r w:rsidR="00CD0692">
              <w:t>.</w:t>
            </w:r>
          </w:p>
        </w:tc>
      </w:tr>
      <w:tr w:rsidR="00A264EB" w14:paraId="032CDEED" w14:textId="77777777" w:rsidTr="003C24A4">
        <w:trPr>
          <w:trHeight w:val="270"/>
        </w:trPr>
        <w:tc>
          <w:tcPr>
            <w:tcW w:w="445" w:type="dxa"/>
          </w:tcPr>
          <w:p w14:paraId="5EAD9249" w14:textId="77777777" w:rsidR="00A264EB" w:rsidRPr="00A955AE" w:rsidRDefault="006F0ED8" w:rsidP="00A264EB">
            <w:pPr>
              <w:rPr>
                <w:color w:val="000000" w:themeColor="text1"/>
              </w:rPr>
            </w:pPr>
            <w:r>
              <w:lastRenderedPageBreak/>
              <w:t>6</w:t>
            </w:r>
          </w:p>
        </w:tc>
        <w:tc>
          <w:tcPr>
            <w:tcW w:w="1624" w:type="dxa"/>
          </w:tcPr>
          <w:p w14:paraId="43D1DC4D" w14:textId="77777777" w:rsidR="00A264EB" w:rsidRPr="004E5317" w:rsidRDefault="006B582A" w:rsidP="00A264EB">
            <w:r>
              <w:t>Shelter</w:t>
            </w:r>
          </w:p>
        </w:tc>
        <w:tc>
          <w:tcPr>
            <w:tcW w:w="4895" w:type="dxa"/>
          </w:tcPr>
          <w:p w14:paraId="64FD5162" w14:textId="77777777" w:rsidR="006B582A" w:rsidRPr="00A955AE" w:rsidRDefault="006B582A" w:rsidP="00A955AE">
            <w:pPr>
              <w:pStyle w:val="NormalWeb"/>
              <w:rPr>
                <w:rFonts w:ascii="Calibri" w:hAnsi="Calibri"/>
                <w:bCs/>
                <w:color w:val="000000"/>
                <w:sz w:val="22"/>
                <w:szCs w:val="22"/>
              </w:rPr>
            </w:pPr>
            <w:r w:rsidRPr="00A955AE">
              <w:rPr>
                <w:rFonts w:ascii="Calibri" w:hAnsi="Calibri"/>
                <w:bCs/>
                <w:color w:val="000000"/>
                <w:sz w:val="22"/>
                <w:szCs w:val="22"/>
              </w:rPr>
              <w:t>Is</w:t>
            </w:r>
            <w:r>
              <w:rPr>
                <w:rFonts w:ascii="Calibri" w:hAnsi="Calibri"/>
                <w:bCs/>
                <w:color w:val="000000"/>
                <w:sz w:val="22"/>
                <w:szCs w:val="22"/>
              </w:rPr>
              <w:t xml:space="preserve"> there a certain population (the beds)</w:t>
            </w:r>
            <w:r w:rsidRPr="00A955AE">
              <w:rPr>
                <w:rFonts w:ascii="Calibri" w:hAnsi="Calibri"/>
                <w:bCs/>
                <w:color w:val="000000"/>
                <w:sz w:val="22"/>
                <w:szCs w:val="22"/>
              </w:rPr>
              <w:t xml:space="preserve"> would be serving? </w:t>
            </w:r>
          </w:p>
          <w:p w14:paraId="65280D84" w14:textId="77777777" w:rsidR="00A264EB" w:rsidRPr="006B582A" w:rsidRDefault="00A264EB" w:rsidP="00A264EB"/>
        </w:tc>
        <w:tc>
          <w:tcPr>
            <w:tcW w:w="7165" w:type="dxa"/>
          </w:tcPr>
          <w:p w14:paraId="4C9B76E4" w14:textId="77777777" w:rsidR="00A264EB" w:rsidRPr="004E5317" w:rsidRDefault="006B582A" w:rsidP="00A264EB">
            <w:r>
              <w:rPr>
                <w:rFonts w:ascii="Calibri" w:hAnsi="Calibri"/>
                <w:color w:val="000000"/>
              </w:rPr>
              <w:t>The shelter beds will be used for individuals living unsheltered (outdoors or in a place not meant for human habitation) who are referred from city-funded outreach teams (see section I, 1. on page 3 of the RFP)</w:t>
            </w:r>
            <w:r w:rsidR="00146D3D">
              <w:rPr>
                <w:rFonts w:ascii="Calibri" w:hAnsi="Calibri"/>
                <w:color w:val="000000"/>
              </w:rPr>
              <w:t xml:space="preserve">. </w:t>
            </w:r>
            <w:r>
              <w:rPr>
                <w:rFonts w:ascii="Calibri" w:hAnsi="Calibri"/>
                <w:color w:val="000000"/>
              </w:rPr>
              <w:t>It is anticipated that individuals will be single and/or coupled adults of all genders, races, and ethnicities.</w:t>
            </w:r>
          </w:p>
        </w:tc>
      </w:tr>
      <w:tr w:rsidR="00A264EB" w14:paraId="64ADC178" w14:textId="77777777" w:rsidTr="003C24A4">
        <w:trPr>
          <w:trHeight w:val="270"/>
        </w:trPr>
        <w:tc>
          <w:tcPr>
            <w:tcW w:w="445" w:type="dxa"/>
          </w:tcPr>
          <w:p w14:paraId="6B70D242" w14:textId="77777777" w:rsidR="00A264EB" w:rsidRDefault="006B582A" w:rsidP="00A264EB">
            <w:r>
              <w:t>7</w:t>
            </w:r>
          </w:p>
        </w:tc>
        <w:tc>
          <w:tcPr>
            <w:tcW w:w="1624" w:type="dxa"/>
          </w:tcPr>
          <w:p w14:paraId="623F159A" w14:textId="77777777" w:rsidR="00A264EB" w:rsidRPr="004E5317" w:rsidRDefault="006B582A" w:rsidP="00A264EB">
            <w:r>
              <w:t>Services</w:t>
            </w:r>
          </w:p>
        </w:tc>
        <w:tc>
          <w:tcPr>
            <w:tcW w:w="4895" w:type="dxa"/>
          </w:tcPr>
          <w:p w14:paraId="292CADCE" w14:textId="77777777" w:rsidR="006B582A" w:rsidRPr="00A955AE" w:rsidRDefault="006B582A" w:rsidP="00A955AE">
            <w:pPr>
              <w:pStyle w:val="NormalWeb"/>
              <w:rPr>
                <w:rFonts w:ascii="Calibri" w:hAnsi="Calibri"/>
                <w:bCs/>
                <w:color w:val="000000"/>
                <w:sz w:val="22"/>
                <w:szCs w:val="22"/>
              </w:rPr>
            </w:pPr>
            <w:r w:rsidRPr="00A955AE">
              <w:rPr>
                <w:rFonts w:ascii="Calibri" w:hAnsi="Calibri"/>
                <w:bCs/>
                <w:color w:val="000000"/>
                <w:sz w:val="22"/>
                <w:szCs w:val="22"/>
              </w:rPr>
              <w:t>Are there organizations that faith communities could work with to provide the staffing for these sites?</w:t>
            </w:r>
          </w:p>
          <w:p w14:paraId="32149127" w14:textId="77777777" w:rsidR="00A264EB" w:rsidRPr="006B582A" w:rsidRDefault="00A264EB" w:rsidP="00A264EB"/>
        </w:tc>
        <w:tc>
          <w:tcPr>
            <w:tcW w:w="7165" w:type="dxa"/>
          </w:tcPr>
          <w:p w14:paraId="5A114C6C" w14:textId="77777777" w:rsidR="00A264EB" w:rsidRPr="004E5317" w:rsidRDefault="006B582A" w:rsidP="00A264EB">
            <w:r>
              <w:rPr>
                <w:rFonts w:ascii="Calibri" w:hAnsi="Calibri"/>
                <w:color w:val="000000"/>
              </w:rPr>
              <w:t>Applicants with space for beds may reach out to organizations with experience providing case management and other supportive services to homeless individuals and create proposed partnerships and Memorandums of Agreement prior to submission of their applications</w:t>
            </w:r>
            <w:r w:rsidR="00146D3D">
              <w:rPr>
                <w:rFonts w:ascii="Calibri" w:hAnsi="Calibri"/>
                <w:color w:val="000000"/>
              </w:rPr>
              <w:t xml:space="preserve">. </w:t>
            </w:r>
            <w:r>
              <w:rPr>
                <w:rFonts w:ascii="Calibri" w:hAnsi="Calibri"/>
                <w:color w:val="000000"/>
              </w:rPr>
              <w:t>Entities with space for beds may also submit applications that indicate the proposal is for space only and request assistance from the City in identifying an agency able to provide services</w:t>
            </w:r>
            <w:r w:rsidR="00146D3D">
              <w:rPr>
                <w:rFonts w:ascii="Calibri" w:hAnsi="Calibri"/>
                <w:color w:val="000000"/>
              </w:rPr>
              <w:t xml:space="preserve">. </w:t>
            </w:r>
            <w:r>
              <w:rPr>
                <w:rFonts w:ascii="Calibri" w:hAnsi="Calibri"/>
                <w:color w:val="000000"/>
              </w:rPr>
              <w:t>Please note: In addition to the RFP for Shelter and Storage the City also released a Letter of Intent encouraging community, business, or faith-based entities to donate free or reduced-cost space or services to supplement the proposals coming in under the RFP</w:t>
            </w:r>
            <w:r w:rsidR="00146D3D">
              <w:rPr>
                <w:rFonts w:ascii="Calibri" w:hAnsi="Calibri"/>
                <w:color w:val="000000"/>
              </w:rPr>
              <w:t xml:space="preserve">. </w:t>
            </w:r>
            <w:r>
              <w:rPr>
                <w:rFonts w:ascii="Calibri" w:hAnsi="Calibri"/>
                <w:color w:val="000000"/>
              </w:rPr>
              <w:t xml:space="preserve">More information about the LOI can be found here: </w:t>
            </w:r>
            <w:hyperlink r:id="rId13" w:history="1">
              <w:r>
                <w:rPr>
                  <w:rStyle w:val="Hyperlink"/>
                  <w:rFonts w:ascii="Calibri" w:hAnsi="Calibri"/>
                </w:rPr>
                <w:t>Bridging the Gap LOI</w:t>
              </w:r>
            </w:hyperlink>
            <w:r>
              <w:rPr>
                <w:rFonts w:ascii="Calibri" w:hAnsi="Calibri"/>
              </w:rPr>
              <w:t>. Entities seeking funding should follow the RFP process</w:t>
            </w:r>
            <w:r w:rsidR="00146D3D">
              <w:rPr>
                <w:rFonts w:ascii="Calibri" w:hAnsi="Calibri"/>
              </w:rPr>
              <w:t xml:space="preserve">. </w:t>
            </w:r>
            <w:r>
              <w:rPr>
                <w:rFonts w:ascii="Calibri" w:hAnsi="Calibri"/>
              </w:rPr>
              <w:t>Entities wishing to donate free or reduced-cost space or services should follow the LOI process</w:t>
            </w:r>
            <w:r w:rsidR="00146D3D">
              <w:rPr>
                <w:rFonts w:ascii="Calibri" w:hAnsi="Calibri"/>
              </w:rPr>
              <w:t xml:space="preserve">. </w:t>
            </w:r>
            <w:r>
              <w:rPr>
                <w:rFonts w:ascii="Calibri" w:hAnsi="Calibri"/>
                <w:color w:val="000000"/>
              </w:rPr>
              <w:t>If applicable, at the close of the application review process the City will pair successful/selected RFP and LOI applicants with one another to create a fully functioning service-delivery model.</w:t>
            </w:r>
          </w:p>
        </w:tc>
      </w:tr>
      <w:tr w:rsidR="00A264EB" w14:paraId="66D776B0" w14:textId="77777777" w:rsidTr="003C24A4">
        <w:trPr>
          <w:trHeight w:val="270"/>
        </w:trPr>
        <w:tc>
          <w:tcPr>
            <w:tcW w:w="445" w:type="dxa"/>
          </w:tcPr>
          <w:p w14:paraId="78E40A8E" w14:textId="77777777" w:rsidR="00A264EB" w:rsidRDefault="006B582A" w:rsidP="00A264EB">
            <w:r>
              <w:t>8</w:t>
            </w:r>
          </w:p>
        </w:tc>
        <w:tc>
          <w:tcPr>
            <w:tcW w:w="1624" w:type="dxa"/>
          </w:tcPr>
          <w:p w14:paraId="5F75F45A" w14:textId="77777777" w:rsidR="00A264EB" w:rsidRPr="00FA152D" w:rsidRDefault="00FA152D">
            <w:r>
              <w:t>Shelter</w:t>
            </w:r>
          </w:p>
        </w:tc>
        <w:tc>
          <w:tcPr>
            <w:tcW w:w="4895" w:type="dxa"/>
          </w:tcPr>
          <w:p w14:paraId="4B2C09D2" w14:textId="77777777" w:rsidR="006B582A" w:rsidRPr="00A955AE" w:rsidRDefault="006B582A" w:rsidP="00A955AE">
            <w:pPr>
              <w:pStyle w:val="NormalWeb"/>
              <w:rPr>
                <w:rFonts w:asciiTheme="minorHAnsi" w:hAnsiTheme="minorHAnsi" w:cstheme="minorBidi"/>
                <w:sz w:val="22"/>
                <w:szCs w:val="22"/>
              </w:rPr>
            </w:pPr>
            <w:r w:rsidRPr="00A955AE">
              <w:rPr>
                <w:rFonts w:asciiTheme="minorHAnsi" w:hAnsiTheme="minorHAnsi" w:cstheme="minorBidi"/>
                <w:sz w:val="22"/>
                <w:szCs w:val="22"/>
              </w:rPr>
              <w:t>Do you know of any faith communities currently applying that we could partner with?</w:t>
            </w:r>
          </w:p>
          <w:p w14:paraId="7381910E" w14:textId="77777777" w:rsidR="00A264EB" w:rsidRPr="006B582A" w:rsidRDefault="00A264EB" w:rsidP="00A264EB"/>
        </w:tc>
        <w:tc>
          <w:tcPr>
            <w:tcW w:w="7165" w:type="dxa"/>
          </w:tcPr>
          <w:p w14:paraId="4CA6C923" w14:textId="77777777" w:rsidR="006B582A" w:rsidRPr="00A955AE" w:rsidRDefault="006B582A" w:rsidP="006B582A">
            <w:pPr>
              <w:pStyle w:val="NormalWeb"/>
              <w:rPr>
                <w:rFonts w:asciiTheme="minorHAnsi" w:hAnsiTheme="minorHAnsi" w:cstheme="minorBidi"/>
                <w:sz w:val="22"/>
                <w:szCs w:val="22"/>
              </w:rPr>
            </w:pPr>
            <w:r w:rsidRPr="00A955AE">
              <w:rPr>
                <w:rFonts w:asciiTheme="minorHAnsi" w:hAnsiTheme="minorHAnsi" w:cstheme="minorBidi"/>
                <w:sz w:val="22"/>
                <w:szCs w:val="22"/>
              </w:rPr>
              <w:t>The City does not know which entities will apply for funding</w:t>
            </w:r>
            <w:r w:rsidR="00146D3D">
              <w:rPr>
                <w:rFonts w:asciiTheme="minorHAnsi" w:hAnsiTheme="minorHAnsi" w:cstheme="minorBidi"/>
                <w:sz w:val="22"/>
                <w:szCs w:val="22"/>
              </w:rPr>
              <w:t xml:space="preserve">. </w:t>
            </w:r>
            <w:r w:rsidRPr="00A955AE">
              <w:rPr>
                <w:rFonts w:asciiTheme="minorHAnsi" w:hAnsiTheme="minorHAnsi" w:cstheme="minorBidi"/>
                <w:sz w:val="22"/>
                <w:szCs w:val="22"/>
              </w:rPr>
              <w:t>The list of organizations who attended the RFP information session is on HSD’s funding webpage, however attendance or lack of attendance cannot be taken as intent to apply for funding</w:t>
            </w:r>
            <w:r w:rsidR="00146D3D">
              <w:rPr>
                <w:rFonts w:asciiTheme="minorHAnsi" w:hAnsiTheme="minorHAnsi" w:cstheme="minorBidi"/>
                <w:sz w:val="22"/>
                <w:szCs w:val="22"/>
              </w:rPr>
              <w:t xml:space="preserve">. </w:t>
            </w:r>
            <w:r w:rsidRPr="00A955AE">
              <w:rPr>
                <w:rFonts w:asciiTheme="minorHAnsi" w:hAnsiTheme="minorHAnsi" w:cstheme="minorBidi"/>
                <w:sz w:val="22"/>
                <w:szCs w:val="22"/>
              </w:rPr>
              <w:t>Applicants are encouraged to reach out to their professional and community networks to create innovative proposals and partnerships.</w:t>
            </w:r>
          </w:p>
          <w:p w14:paraId="357F11B7" w14:textId="77777777" w:rsidR="00A264EB" w:rsidRPr="004E5317" w:rsidRDefault="00A264EB" w:rsidP="00A264EB"/>
        </w:tc>
      </w:tr>
      <w:tr w:rsidR="00A264EB" w14:paraId="50360569" w14:textId="77777777" w:rsidTr="003C24A4">
        <w:trPr>
          <w:trHeight w:val="270"/>
        </w:trPr>
        <w:tc>
          <w:tcPr>
            <w:tcW w:w="445" w:type="dxa"/>
          </w:tcPr>
          <w:p w14:paraId="72F13CA3" w14:textId="77777777" w:rsidR="00A264EB" w:rsidRDefault="006B582A" w:rsidP="00A264EB">
            <w:r>
              <w:lastRenderedPageBreak/>
              <w:t>9</w:t>
            </w:r>
          </w:p>
        </w:tc>
        <w:tc>
          <w:tcPr>
            <w:tcW w:w="1624" w:type="dxa"/>
          </w:tcPr>
          <w:p w14:paraId="2BB03F57" w14:textId="77777777" w:rsidR="00A264EB" w:rsidRPr="004E5317" w:rsidRDefault="00FA152D" w:rsidP="00A264EB">
            <w:r>
              <w:t>Shelter/Storage</w:t>
            </w:r>
          </w:p>
        </w:tc>
        <w:tc>
          <w:tcPr>
            <w:tcW w:w="4895" w:type="dxa"/>
          </w:tcPr>
          <w:p w14:paraId="237AA57A" w14:textId="77777777" w:rsidR="006B582A" w:rsidRPr="00A955AE" w:rsidRDefault="006B582A" w:rsidP="00A955AE">
            <w:pPr>
              <w:pStyle w:val="NormalWeb"/>
              <w:rPr>
                <w:rFonts w:asciiTheme="minorHAnsi" w:hAnsiTheme="minorHAnsi"/>
                <w:bCs/>
                <w:color w:val="000000"/>
                <w:sz w:val="22"/>
                <w:szCs w:val="22"/>
              </w:rPr>
            </w:pPr>
            <w:r w:rsidRPr="00A955AE">
              <w:rPr>
                <w:rFonts w:asciiTheme="minorHAnsi" w:hAnsiTheme="minorHAnsi"/>
                <w:bCs/>
                <w:color w:val="000000"/>
                <w:sz w:val="22"/>
                <w:szCs w:val="22"/>
              </w:rPr>
              <w:t>Is the funding mainly for operating the shelters and improving the building, or can it also be used for coordinating the shelters and recruiting new congregations to host?</w:t>
            </w:r>
          </w:p>
          <w:p w14:paraId="332B0DFE" w14:textId="77777777" w:rsidR="00A264EB" w:rsidRPr="006B582A" w:rsidRDefault="00A264EB" w:rsidP="00A264EB"/>
        </w:tc>
        <w:tc>
          <w:tcPr>
            <w:tcW w:w="7165" w:type="dxa"/>
          </w:tcPr>
          <w:p w14:paraId="15C4867E" w14:textId="77777777" w:rsidR="00FA152D" w:rsidRDefault="00FA152D" w:rsidP="00FA152D">
            <w:pPr>
              <w:rPr>
                <w:rFonts w:ascii="Calibri" w:hAnsi="Calibri"/>
              </w:rPr>
            </w:pPr>
            <w:r>
              <w:rPr>
                <w:rFonts w:ascii="Calibri" w:hAnsi="Calibri"/>
                <w:color w:val="000000"/>
              </w:rPr>
              <w:t>Funding can be requested for operating expenses including staff wages and benefits, capital/facility improvement expenses, and costs associated with storage of client personal bel</w:t>
            </w:r>
            <w:r w:rsidR="007B4E87">
              <w:rPr>
                <w:rFonts w:ascii="Calibri" w:hAnsi="Calibri"/>
                <w:color w:val="000000"/>
              </w:rPr>
              <w:t>ongings (see section I, 1. and s</w:t>
            </w:r>
            <w:r>
              <w:rPr>
                <w:rFonts w:ascii="Calibri" w:hAnsi="Calibri"/>
                <w:color w:val="000000"/>
              </w:rPr>
              <w:t>ection I, 2. on pages 3-4 of the RFP).</w:t>
            </w:r>
          </w:p>
          <w:p w14:paraId="2F68529C" w14:textId="77777777" w:rsidR="00A264EB" w:rsidRPr="004E5317" w:rsidRDefault="00A264EB" w:rsidP="00A264EB"/>
        </w:tc>
      </w:tr>
      <w:tr w:rsidR="00375911" w14:paraId="0383792A" w14:textId="77777777" w:rsidTr="003C24A4">
        <w:trPr>
          <w:trHeight w:val="270"/>
        </w:trPr>
        <w:tc>
          <w:tcPr>
            <w:tcW w:w="445" w:type="dxa"/>
          </w:tcPr>
          <w:p w14:paraId="437A65B6" w14:textId="77777777" w:rsidR="00375911" w:rsidRDefault="00375911" w:rsidP="00A264EB">
            <w:r>
              <w:t>10</w:t>
            </w:r>
          </w:p>
        </w:tc>
        <w:tc>
          <w:tcPr>
            <w:tcW w:w="1624" w:type="dxa"/>
          </w:tcPr>
          <w:p w14:paraId="499CC56B" w14:textId="77777777" w:rsidR="00375911" w:rsidRDefault="00813B6C" w:rsidP="00A264EB">
            <w:r>
              <w:t>Shelter</w:t>
            </w:r>
          </w:p>
        </w:tc>
        <w:tc>
          <w:tcPr>
            <w:tcW w:w="4895" w:type="dxa"/>
          </w:tcPr>
          <w:p w14:paraId="1E4E6C98" w14:textId="77777777" w:rsidR="00375911" w:rsidRPr="00A955AE" w:rsidRDefault="000F64CA" w:rsidP="00A955AE">
            <w:pPr>
              <w:pStyle w:val="NormalWeb"/>
              <w:rPr>
                <w:rFonts w:asciiTheme="minorHAnsi" w:hAnsiTheme="minorHAnsi"/>
                <w:bCs/>
                <w:color w:val="000000"/>
                <w:sz w:val="22"/>
                <w:szCs w:val="22"/>
              </w:rPr>
            </w:pPr>
            <w:r>
              <w:rPr>
                <w:rFonts w:asciiTheme="minorHAnsi" w:hAnsiTheme="minorHAnsi"/>
                <w:bCs/>
                <w:color w:val="000000"/>
                <w:sz w:val="22"/>
                <w:szCs w:val="22"/>
              </w:rPr>
              <w:t>I’m trying to create an accurate budget proposal.  Can you tell me approximately how much sleeping mats cost?</w:t>
            </w:r>
          </w:p>
        </w:tc>
        <w:tc>
          <w:tcPr>
            <w:tcW w:w="7165" w:type="dxa"/>
          </w:tcPr>
          <w:p w14:paraId="41A8CB13" w14:textId="7363F950" w:rsidR="00375911" w:rsidRDefault="00803D5C" w:rsidP="00FA152D">
            <w:pPr>
              <w:rPr>
                <w:rFonts w:ascii="Calibri" w:hAnsi="Calibri"/>
                <w:color w:val="000000"/>
              </w:rPr>
            </w:pPr>
            <w:r>
              <w:rPr>
                <w:color w:val="000000"/>
              </w:rPr>
              <w:t xml:space="preserve">HSD cannot provide applicants with budget costs as prices may vary depending on chosen suppliers. We encourage all applicants to research any potential costs and submit a best estimate. </w:t>
            </w:r>
            <w:r w:rsidR="000F64CA">
              <w:rPr>
                <w:rFonts w:ascii="Calibri" w:hAnsi="Calibri"/>
                <w:color w:val="000000"/>
              </w:rPr>
              <w:t xml:space="preserve">Proposals that are selected for funding will be asked to fine-tune their budgets during the contracting process. </w:t>
            </w:r>
          </w:p>
        </w:tc>
      </w:tr>
      <w:tr w:rsidR="00375911" w14:paraId="3243A9A4" w14:textId="77777777" w:rsidTr="003C24A4">
        <w:trPr>
          <w:trHeight w:val="270"/>
        </w:trPr>
        <w:tc>
          <w:tcPr>
            <w:tcW w:w="445" w:type="dxa"/>
          </w:tcPr>
          <w:p w14:paraId="65CBEAE4" w14:textId="77777777" w:rsidR="00375911" w:rsidRDefault="00672F62" w:rsidP="00A264EB">
            <w:r>
              <w:t>11</w:t>
            </w:r>
          </w:p>
        </w:tc>
        <w:tc>
          <w:tcPr>
            <w:tcW w:w="1624" w:type="dxa"/>
          </w:tcPr>
          <w:p w14:paraId="5AFF143A" w14:textId="77777777" w:rsidR="00375911" w:rsidRDefault="00672F62" w:rsidP="00A264EB">
            <w:r>
              <w:t>Storage</w:t>
            </w:r>
          </w:p>
        </w:tc>
        <w:tc>
          <w:tcPr>
            <w:tcW w:w="4895" w:type="dxa"/>
          </w:tcPr>
          <w:p w14:paraId="06B7E864" w14:textId="77777777" w:rsidR="00375911" w:rsidRPr="00803D5C" w:rsidRDefault="00672F62" w:rsidP="00A955AE">
            <w:pPr>
              <w:pStyle w:val="NormalWeb"/>
              <w:rPr>
                <w:rFonts w:asciiTheme="minorHAnsi" w:hAnsiTheme="minorHAnsi"/>
                <w:bCs/>
                <w:color w:val="000000"/>
                <w:sz w:val="22"/>
                <w:szCs w:val="22"/>
              </w:rPr>
            </w:pPr>
            <w:r w:rsidRPr="003C24A4">
              <w:rPr>
                <w:rFonts w:asciiTheme="minorHAnsi" w:hAnsiTheme="minorHAnsi"/>
                <w:sz w:val="22"/>
                <w:szCs w:val="22"/>
              </w:rPr>
              <w:t>Are funded storage solutions required to be open to all, or may the grantee restrict access to its own program clients?</w:t>
            </w:r>
          </w:p>
        </w:tc>
        <w:tc>
          <w:tcPr>
            <w:tcW w:w="7165" w:type="dxa"/>
          </w:tcPr>
          <w:p w14:paraId="585AE658" w14:textId="56ECF962" w:rsidR="00375911" w:rsidRDefault="006A7DD0" w:rsidP="00FA152D">
            <w:pPr>
              <w:rPr>
                <w:rFonts w:ascii="Calibri" w:hAnsi="Calibri"/>
                <w:color w:val="000000"/>
              </w:rPr>
            </w:pPr>
            <w:r>
              <w:rPr>
                <w:rFonts w:ascii="Calibri" w:hAnsi="Calibri"/>
                <w:color w:val="000000"/>
              </w:rPr>
              <w:t>Agencies would designate any storage funded under this RFP for individuals staying in the agency’s emergency shelter beds.   See Section I, sub-section 2 on page 4 of the RFP.</w:t>
            </w:r>
          </w:p>
        </w:tc>
      </w:tr>
      <w:tr w:rsidR="00375911" w14:paraId="162FB761" w14:textId="77777777" w:rsidTr="003C24A4">
        <w:trPr>
          <w:trHeight w:val="270"/>
        </w:trPr>
        <w:tc>
          <w:tcPr>
            <w:tcW w:w="445" w:type="dxa"/>
          </w:tcPr>
          <w:p w14:paraId="68CFD317" w14:textId="77777777" w:rsidR="00375911" w:rsidRDefault="00664282" w:rsidP="00A264EB">
            <w:r>
              <w:t>12</w:t>
            </w:r>
          </w:p>
        </w:tc>
        <w:tc>
          <w:tcPr>
            <w:tcW w:w="1624" w:type="dxa"/>
          </w:tcPr>
          <w:p w14:paraId="07E20362" w14:textId="77777777" w:rsidR="00375911" w:rsidRDefault="00664282" w:rsidP="00A264EB">
            <w:r>
              <w:t>Shelter</w:t>
            </w:r>
          </w:p>
        </w:tc>
        <w:tc>
          <w:tcPr>
            <w:tcW w:w="4895" w:type="dxa"/>
          </w:tcPr>
          <w:p w14:paraId="04A87AE8" w14:textId="77777777" w:rsidR="00375911" w:rsidRPr="00A955AE" w:rsidRDefault="00664282" w:rsidP="00A955AE">
            <w:pPr>
              <w:pStyle w:val="NormalWeb"/>
              <w:rPr>
                <w:rFonts w:asciiTheme="minorHAnsi" w:hAnsiTheme="minorHAnsi"/>
                <w:bCs/>
                <w:color w:val="000000"/>
                <w:sz w:val="22"/>
                <w:szCs w:val="22"/>
              </w:rPr>
            </w:pPr>
            <w:r>
              <w:rPr>
                <w:rFonts w:asciiTheme="minorHAnsi" w:hAnsiTheme="minorHAnsi"/>
                <w:bCs/>
                <w:color w:val="000000"/>
                <w:sz w:val="22"/>
                <w:szCs w:val="22"/>
              </w:rPr>
              <w:t>My agency may have an idea about how to expand our shelter services, unfortunately we are worried that we won’t be able to pull together a proposal by the time the RFP is due.  Is it possible to talk with HSD staff prior to the submission deadline?</w:t>
            </w:r>
          </w:p>
        </w:tc>
        <w:tc>
          <w:tcPr>
            <w:tcW w:w="7165" w:type="dxa"/>
          </w:tcPr>
          <w:p w14:paraId="4E7FC184" w14:textId="607B8622" w:rsidR="00375911" w:rsidRDefault="00803D5C" w:rsidP="00FA152D">
            <w:pPr>
              <w:rPr>
                <w:rFonts w:ascii="Calibri" w:hAnsi="Calibri"/>
                <w:color w:val="000000"/>
              </w:rPr>
            </w:pPr>
            <w:r>
              <w:rPr>
                <w:color w:val="000000"/>
              </w:rPr>
              <w:t xml:space="preserve">HSD’s policy restricts staff from communicating with potential applicants during an open RFP outside of the Information Session and the Q&amp;A format. </w:t>
            </w:r>
            <w:r w:rsidR="00664282">
              <w:rPr>
                <w:rFonts w:ascii="Calibri" w:hAnsi="Calibri"/>
                <w:color w:val="000000"/>
              </w:rPr>
              <w:t xml:space="preserve">Any agency with a potentially viable </w:t>
            </w:r>
            <w:r w:rsidR="00C14D4F">
              <w:rPr>
                <w:rFonts w:ascii="Calibri" w:hAnsi="Calibri"/>
                <w:color w:val="000000"/>
              </w:rPr>
              <w:t xml:space="preserve">idea is encouraged to complete the RFP to the best of their ability.  </w:t>
            </w:r>
          </w:p>
        </w:tc>
      </w:tr>
    </w:tbl>
    <w:p w14:paraId="6860E58E" w14:textId="4A199347" w:rsidR="006C480D" w:rsidRDefault="006C480D"/>
    <w:p w14:paraId="27D9DD35" w14:textId="77777777" w:rsidR="006C480D" w:rsidRPr="006C480D" w:rsidRDefault="006C480D" w:rsidP="006C480D">
      <w:bookmarkStart w:id="0" w:name="_GoBack"/>
      <w:bookmarkEnd w:id="0"/>
    </w:p>
    <w:p w14:paraId="08CD3E60" w14:textId="77777777" w:rsidR="006C480D" w:rsidRPr="006C480D" w:rsidRDefault="006C480D" w:rsidP="006C480D"/>
    <w:p w14:paraId="2A3B04B7" w14:textId="77777777" w:rsidR="006C480D" w:rsidRPr="006C480D" w:rsidRDefault="006C480D" w:rsidP="006C480D"/>
    <w:p w14:paraId="27018923" w14:textId="77777777" w:rsidR="006C480D" w:rsidRPr="006C480D" w:rsidRDefault="006C480D" w:rsidP="006C480D"/>
    <w:p w14:paraId="5233F86A" w14:textId="3530AA49" w:rsidR="00FD40CA" w:rsidRPr="006C480D" w:rsidRDefault="00FD40CA" w:rsidP="006C480D">
      <w:pPr>
        <w:ind w:firstLine="720"/>
      </w:pPr>
    </w:p>
    <w:sectPr w:rsidR="00FD40CA" w:rsidRPr="006C480D" w:rsidSect="004F4735">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2D6A6" w14:textId="77777777" w:rsidR="00CD6430" w:rsidRDefault="00CD6430" w:rsidP="004F4735">
      <w:pPr>
        <w:spacing w:after="0" w:line="240" w:lineRule="auto"/>
      </w:pPr>
      <w:r>
        <w:separator/>
      </w:r>
    </w:p>
  </w:endnote>
  <w:endnote w:type="continuationSeparator" w:id="0">
    <w:p w14:paraId="60035A8F" w14:textId="77777777" w:rsidR="00CD6430" w:rsidRDefault="00CD6430" w:rsidP="004F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ED80" w14:textId="29DDD75D" w:rsidR="004E5317" w:rsidRDefault="00FA152D">
    <w:pPr>
      <w:pStyle w:val="Footer"/>
    </w:pPr>
    <w:r>
      <w:t xml:space="preserve">January </w:t>
    </w:r>
    <w:r w:rsidR="006C480D">
      <w:t>18</w:t>
    </w:r>
    <w:r>
      <w:t>, 2017</w:t>
    </w:r>
  </w:p>
  <w:p w14:paraId="639E2A2E" w14:textId="77777777" w:rsidR="00A264EB" w:rsidRDefault="00D87D8A">
    <w:pPr>
      <w:pStyle w:val="Footer"/>
    </w:pPr>
    <w:r>
      <w:tab/>
    </w:r>
    <w:r>
      <w:tab/>
    </w:r>
    <w:r>
      <w:tab/>
    </w:r>
    <w:r>
      <w:tab/>
    </w:r>
    <w:r>
      <w:tab/>
    </w:r>
    <w:r w:rsidR="00E460AE">
      <w:rPr>
        <w:rFonts w:ascii="Times New Roman" w:hAnsi="Times New Roman"/>
        <w:sz w:val="18"/>
      </w:rPr>
      <w:t>(V.2</w:t>
    </w:r>
    <w:r>
      <w:rPr>
        <w:rFonts w:ascii="Times New Roman" w:hAnsi="Times New Roman"/>
        <w:sz w:val="18"/>
      </w:rPr>
      <w:t>.0 - 2016)</w:t>
    </w:r>
    <w:r w:rsidR="00A264E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5EEC" w14:textId="77777777" w:rsidR="00CD6430" w:rsidRDefault="00CD6430" w:rsidP="004F4735">
      <w:pPr>
        <w:spacing w:after="0" w:line="240" w:lineRule="auto"/>
      </w:pPr>
      <w:r>
        <w:separator/>
      </w:r>
    </w:p>
  </w:footnote>
  <w:footnote w:type="continuationSeparator" w:id="0">
    <w:p w14:paraId="6E8E6E49" w14:textId="77777777" w:rsidR="00CD6430" w:rsidRDefault="00CD6430" w:rsidP="004F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3115" w14:textId="77777777" w:rsidR="00A264EB" w:rsidRPr="00BA6E22" w:rsidRDefault="00A264EB" w:rsidP="00A264EB">
    <w:pPr>
      <w:spacing w:after="0" w:line="240" w:lineRule="auto"/>
      <w:jc w:val="center"/>
      <w:rPr>
        <w:rFonts w:ascii="Cambria" w:hAnsi="Cambria"/>
        <w:color w:val="000066"/>
        <w:sz w:val="56"/>
        <w:szCs w:val="56"/>
      </w:rPr>
    </w:pPr>
    <w:r w:rsidRPr="00BA6E22">
      <w:rPr>
        <w:rFonts w:ascii="Cambria" w:hAnsi="Cambria"/>
        <w:color w:val="000066"/>
        <w:sz w:val="56"/>
        <w:szCs w:val="56"/>
      </w:rPr>
      <w:t>Question and Answer</w:t>
    </w:r>
  </w:p>
  <w:p w14:paraId="1EA5E127" w14:textId="77777777" w:rsidR="004E5317" w:rsidRDefault="004E5317" w:rsidP="004E5317">
    <w:pPr>
      <w:pStyle w:val="Header"/>
      <w:jc w:val="center"/>
      <w:rPr>
        <w:rFonts w:ascii="Cambria" w:hAnsi="Cambria"/>
        <w:b/>
      </w:rPr>
    </w:pPr>
    <w:r>
      <w:rPr>
        <w:rFonts w:ascii="Cambria" w:hAnsi="Cambria"/>
        <w:b/>
      </w:rPr>
      <w:t xml:space="preserve">Bridging the Gap </w:t>
    </w:r>
    <w:r w:rsidRPr="004E5317">
      <w:rPr>
        <w:rFonts w:ascii="Cambria" w:hAnsi="Cambria"/>
        <w:b/>
      </w:rPr>
      <w:t xml:space="preserve">Shelter and Storage </w:t>
    </w:r>
  </w:p>
  <w:p w14:paraId="5CBB45A5" w14:textId="77777777" w:rsidR="00A264EB" w:rsidRPr="00BA6E22" w:rsidRDefault="004E5317" w:rsidP="004E5317">
    <w:pPr>
      <w:pStyle w:val="Header"/>
      <w:jc w:val="center"/>
      <w:rPr>
        <w:rFonts w:ascii="Cambria" w:hAnsi="Cambria"/>
        <w:b/>
      </w:rPr>
    </w:pPr>
    <w:r>
      <w:rPr>
        <w:rFonts w:ascii="Cambria" w:hAnsi="Cambria"/>
        <w:b/>
      </w:rPr>
      <w:t xml:space="preserve">2016 </w:t>
    </w:r>
    <w:r w:rsidRPr="004E5317">
      <w:rPr>
        <w:rFonts w:ascii="Cambria" w:hAnsi="Cambria"/>
        <w:b/>
      </w:rPr>
      <w:t>Request for Proposals</w:t>
    </w:r>
  </w:p>
  <w:p w14:paraId="176BB8CA" w14:textId="77777777" w:rsidR="00A264EB" w:rsidRDefault="00A264EB" w:rsidP="00A264EB">
    <w:pPr>
      <w:pStyle w:val="Header"/>
      <w:jc w:val="center"/>
      <w:rPr>
        <w:rFonts w:ascii="Cambria" w:hAnsi="Cambria"/>
        <w:b/>
      </w:rPr>
    </w:pPr>
  </w:p>
  <w:p w14:paraId="1A9CDBCD" w14:textId="77777777" w:rsidR="00A264EB" w:rsidRPr="00BA6E22" w:rsidRDefault="00A264EB" w:rsidP="00A264EB">
    <w:pPr>
      <w:pStyle w:val="Header"/>
      <w:jc w:val="center"/>
      <w:rPr>
        <w:rFonts w:ascii="Cambria" w:hAnsi="Cambria"/>
        <w:b/>
      </w:rPr>
    </w:pPr>
  </w:p>
  <w:p w14:paraId="0EA906B7" w14:textId="77777777" w:rsidR="004F4735" w:rsidRPr="004E5255" w:rsidRDefault="004F4735" w:rsidP="004E525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4FE3"/>
    <w:multiLevelType w:val="hybridMultilevel"/>
    <w:tmpl w:val="5FC4579C"/>
    <w:lvl w:ilvl="0" w:tplc="6E46095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4D76D4"/>
    <w:multiLevelType w:val="hybridMultilevel"/>
    <w:tmpl w:val="7FCC558A"/>
    <w:lvl w:ilvl="0" w:tplc="8BCEDB6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D036B5"/>
    <w:multiLevelType w:val="hybridMultilevel"/>
    <w:tmpl w:val="4718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5E79"/>
    <w:multiLevelType w:val="hybridMultilevel"/>
    <w:tmpl w:val="76203392"/>
    <w:lvl w:ilvl="0" w:tplc="496AE4B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4403B6C"/>
    <w:multiLevelType w:val="hybridMultilevel"/>
    <w:tmpl w:val="67942F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E46A8C"/>
    <w:multiLevelType w:val="hybridMultilevel"/>
    <w:tmpl w:val="F48E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57341"/>
    <w:multiLevelType w:val="hybridMultilevel"/>
    <w:tmpl w:val="6A8A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35"/>
    <w:rsid w:val="000102BD"/>
    <w:rsid w:val="00021EC1"/>
    <w:rsid w:val="00024AF9"/>
    <w:rsid w:val="0002652B"/>
    <w:rsid w:val="0007783A"/>
    <w:rsid w:val="000B584A"/>
    <w:rsid w:val="000C0D7B"/>
    <w:rsid w:val="000E4D63"/>
    <w:rsid w:val="000F0551"/>
    <w:rsid w:val="000F64CA"/>
    <w:rsid w:val="00146D3D"/>
    <w:rsid w:val="00146FBB"/>
    <w:rsid w:val="00173E9A"/>
    <w:rsid w:val="001A6DB8"/>
    <w:rsid w:val="001C0961"/>
    <w:rsid w:val="00207E75"/>
    <w:rsid w:val="00220BCC"/>
    <w:rsid w:val="002722FE"/>
    <w:rsid w:val="00284587"/>
    <w:rsid w:val="002973E4"/>
    <w:rsid w:val="002A091B"/>
    <w:rsid w:val="002B1798"/>
    <w:rsid w:val="002E77F7"/>
    <w:rsid w:val="00301255"/>
    <w:rsid w:val="00301EDC"/>
    <w:rsid w:val="0031649B"/>
    <w:rsid w:val="00372C48"/>
    <w:rsid w:val="00375911"/>
    <w:rsid w:val="00383984"/>
    <w:rsid w:val="00395EF6"/>
    <w:rsid w:val="003A6318"/>
    <w:rsid w:val="003C24A4"/>
    <w:rsid w:val="003C24FD"/>
    <w:rsid w:val="003D310E"/>
    <w:rsid w:val="0040184F"/>
    <w:rsid w:val="00434441"/>
    <w:rsid w:val="00434BAE"/>
    <w:rsid w:val="0044788F"/>
    <w:rsid w:val="00451612"/>
    <w:rsid w:val="00470C56"/>
    <w:rsid w:val="00471776"/>
    <w:rsid w:val="0048462F"/>
    <w:rsid w:val="004C3074"/>
    <w:rsid w:val="004D077F"/>
    <w:rsid w:val="004E499B"/>
    <w:rsid w:val="004E4FB7"/>
    <w:rsid w:val="004E5255"/>
    <w:rsid w:val="004E5317"/>
    <w:rsid w:val="004F4735"/>
    <w:rsid w:val="00504E5E"/>
    <w:rsid w:val="00526485"/>
    <w:rsid w:val="00535126"/>
    <w:rsid w:val="0055575C"/>
    <w:rsid w:val="00565CCC"/>
    <w:rsid w:val="00572748"/>
    <w:rsid w:val="005A1D3B"/>
    <w:rsid w:val="005F0AB8"/>
    <w:rsid w:val="0063502A"/>
    <w:rsid w:val="006641A9"/>
    <w:rsid w:val="00664282"/>
    <w:rsid w:val="00672F62"/>
    <w:rsid w:val="00684C73"/>
    <w:rsid w:val="006A7DD0"/>
    <w:rsid w:val="006B582A"/>
    <w:rsid w:val="006C480D"/>
    <w:rsid w:val="006D0C81"/>
    <w:rsid w:val="006E2EC4"/>
    <w:rsid w:val="006F0ED8"/>
    <w:rsid w:val="006F72FF"/>
    <w:rsid w:val="00700F4D"/>
    <w:rsid w:val="00705533"/>
    <w:rsid w:val="00710B32"/>
    <w:rsid w:val="007115C9"/>
    <w:rsid w:val="00770E6F"/>
    <w:rsid w:val="007749EE"/>
    <w:rsid w:val="00780361"/>
    <w:rsid w:val="00780D2D"/>
    <w:rsid w:val="00787B21"/>
    <w:rsid w:val="007B4E87"/>
    <w:rsid w:val="007D2AA1"/>
    <w:rsid w:val="007F1177"/>
    <w:rsid w:val="007F203A"/>
    <w:rsid w:val="00803D5C"/>
    <w:rsid w:val="00813B6C"/>
    <w:rsid w:val="00881605"/>
    <w:rsid w:val="008A28DE"/>
    <w:rsid w:val="008B6D37"/>
    <w:rsid w:val="008D7B45"/>
    <w:rsid w:val="009167B6"/>
    <w:rsid w:val="00917CCB"/>
    <w:rsid w:val="00927066"/>
    <w:rsid w:val="00946F94"/>
    <w:rsid w:val="00987A05"/>
    <w:rsid w:val="009A0DE6"/>
    <w:rsid w:val="009B6321"/>
    <w:rsid w:val="00A264EB"/>
    <w:rsid w:val="00A3733D"/>
    <w:rsid w:val="00A50484"/>
    <w:rsid w:val="00A72A7B"/>
    <w:rsid w:val="00A85CF6"/>
    <w:rsid w:val="00A955AE"/>
    <w:rsid w:val="00AC770F"/>
    <w:rsid w:val="00AF1363"/>
    <w:rsid w:val="00AF7F9F"/>
    <w:rsid w:val="00B05DA4"/>
    <w:rsid w:val="00B10037"/>
    <w:rsid w:val="00B30038"/>
    <w:rsid w:val="00B32F40"/>
    <w:rsid w:val="00B47314"/>
    <w:rsid w:val="00B7208F"/>
    <w:rsid w:val="00B83ADA"/>
    <w:rsid w:val="00BB1D4D"/>
    <w:rsid w:val="00BB4E39"/>
    <w:rsid w:val="00BC14FA"/>
    <w:rsid w:val="00C03C07"/>
    <w:rsid w:val="00C14D4F"/>
    <w:rsid w:val="00C41635"/>
    <w:rsid w:val="00C90124"/>
    <w:rsid w:val="00C90712"/>
    <w:rsid w:val="00CA0F31"/>
    <w:rsid w:val="00CD0692"/>
    <w:rsid w:val="00CD6430"/>
    <w:rsid w:val="00CF1555"/>
    <w:rsid w:val="00D06CE8"/>
    <w:rsid w:val="00D14B62"/>
    <w:rsid w:val="00D612D2"/>
    <w:rsid w:val="00D66A14"/>
    <w:rsid w:val="00D87D8A"/>
    <w:rsid w:val="00DA168D"/>
    <w:rsid w:val="00DE07A8"/>
    <w:rsid w:val="00DE58C3"/>
    <w:rsid w:val="00E0525F"/>
    <w:rsid w:val="00E12F69"/>
    <w:rsid w:val="00E35DDC"/>
    <w:rsid w:val="00E460AE"/>
    <w:rsid w:val="00E844B9"/>
    <w:rsid w:val="00E96C85"/>
    <w:rsid w:val="00EB3E0C"/>
    <w:rsid w:val="00EC4468"/>
    <w:rsid w:val="00EC6C42"/>
    <w:rsid w:val="00ED17E4"/>
    <w:rsid w:val="00ED5CA3"/>
    <w:rsid w:val="00F23B74"/>
    <w:rsid w:val="00F606A5"/>
    <w:rsid w:val="00F63073"/>
    <w:rsid w:val="00F63EAE"/>
    <w:rsid w:val="00F642EF"/>
    <w:rsid w:val="00F70136"/>
    <w:rsid w:val="00F766A7"/>
    <w:rsid w:val="00FA152D"/>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ACD45"/>
  <w15:docId w15:val="{6FD17E50-C353-4F85-B15A-E6F09A0B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35"/>
  </w:style>
  <w:style w:type="paragraph" w:styleId="Footer">
    <w:name w:val="footer"/>
    <w:basedOn w:val="Normal"/>
    <w:link w:val="FooterChar"/>
    <w:uiPriority w:val="99"/>
    <w:unhideWhenUsed/>
    <w:rsid w:val="004F4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35"/>
  </w:style>
  <w:style w:type="table" w:styleId="TableGrid">
    <w:name w:val="Table Grid"/>
    <w:basedOn w:val="TableNormal"/>
    <w:uiPriority w:val="59"/>
    <w:rsid w:val="004F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984"/>
    <w:rPr>
      <w:color w:val="0000FF" w:themeColor="hyperlink"/>
      <w:u w:val="single"/>
    </w:rPr>
  </w:style>
  <w:style w:type="paragraph" w:styleId="ListParagraph">
    <w:name w:val="List Paragraph"/>
    <w:basedOn w:val="Normal"/>
    <w:uiPriority w:val="34"/>
    <w:qFormat/>
    <w:rsid w:val="00B05DA4"/>
    <w:pPr>
      <w:ind w:left="720"/>
      <w:contextualSpacing/>
    </w:pPr>
  </w:style>
  <w:style w:type="paragraph" w:styleId="BalloonText">
    <w:name w:val="Balloon Text"/>
    <w:basedOn w:val="Normal"/>
    <w:link w:val="BalloonTextChar"/>
    <w:uiPriority w:val="99"/>
    <w:semiHidden/>
    <w:unhideWhenUsed/>
    <w:rsid w:val="0022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CC"/>
    <w:rPr>
      <w:rFonts w:ascii="Tahoma" w:hAnsi="Tahoma" w:cs="Tahoma"/>
      <w:sz w:val="16"/>
      <w:szCs w:val="16"/>
    </w:rPr>
  </w:style>
  <w:style w:type="character" w:styleId="CommentReference">
    <w:name w:val="annotation reference"/>
    <w:basedOn w:val="DefaultParagraphFont"/>
    <w:uiPriority w:val="99"/>
    <w:semiHidden/>
    <w:unhideWhenUsed/>
    <w:rsid w:val="00220BCC"/>
    <w:rPr>
      <w:sz w:val="16"/>
      <w:szCs w:val="16"/>
    </w:rPr>
  </w:style>
  <w:style w:type="paragraph" w:styleId="CommentText">
    <w:name w:val="annotation text"/>
    <w:basedOn w:val="Normal"/>
    <w:link w:val="CommentTextChar"/>
    <w:uiPriority w:val="99"/>
    <w:semiHidden/>
    <w:unhideWhenUsed/>
    <w:rsid w:val="00220BCC"/>
    <w:pPr>
      <w:spacing w:line="240" w:lineRule="auto"/>
    </w:pPr>
    <w:rPr>
      <w:sz w:val="20"/>
      <w:szCs w:val="20"/>
    </w:rPr>
  </w:style>
  <w:style w:type="character" w:customStyle="1" w:styleId="CommentTextChar">
    <w:name w:val="Comment Text Char"/>
    <w:basedOn w:val="DefaultParagraphFont"/>
    <w:link w:val="CommentText"/>
    <w:uiPriority w:val="99"/>
    <w:semiHidden/>
    <w:rsid w:val="00220BCC"/>
    <w:rPr>
      <w:sz w:val="20"/>
      <w:szCs w:val="20"/>
    </w:rPr>
  </w:style>
  <w:style w:type="paragraph" w:styleId="CommentSubject">
    <w:name w:val="annotation subject"/>
    <w:basedOn w:val="CommentText"/>
    <w:next w:val="CommentText"/>
    <w:link w:val="CommentSubjectChar"/>
    <w:uiPriority w:val="99"/>
    <w:semiHidden/>
    <w:unhideWhenUsed/>
    <w:rsid w:val="00220BCC"/>
    <w:rPr>
      <w:b/>
      <w:bCs/>
    </w:rPr>
  </w:style>
  <w:style w:type="character" w:customStyle="1" w:styleId="CommentSubjectChar">
    <w:name w:val="Comment Subject Char"/>
    <w:basedOn w:val="CommentTextChar"/>
    <w:link w:val="CommentSubject"/>
    <w:uiPriority w:val="99"/>
    <w:semiHidden/>
    <w:rsid w:val="00220BCC"/>
    <w:rPr>
      <w:b/>
      <w:bCs/>
      <w:sz w:val="20"/>
      <w:szCs w:val="20"/>
    </w:rPr>
  </w:style>
  <w:style w:type="paragraph" w:styleId="PlainText">
    <w:name w:val="Plain Text"/>
    <w:basedOn w:val="Normal"/>
    <w:link w:val="PlainTextChar"/>
    <w:uiPriority w:val="99"/>
    <w:unhideWhenUsed/>
    <w:rsid w:val="00E96C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6C85"/>
    <w:rPr>
      <w:rFonts w:ascii="Calibri" w:hAnsi="Calibri"/>
      <w:szCs w:val="21"/>
    </w:rPr>
  </w:style>
  <w:style w:type="character" w:styleId="FollowedHyperlink">
    <w:name w:val="FollowedHyperlink"/>
    <w:basedOn w:val="DefaultParagraphFont"/>
    <w:uiPriority w:val="99"/>
    <w:semiHidden/>
    <w:unhideWhenUsed/>
    <w:rsid w:val="00BB4E39"/>
    <w:rPr>
      <w:color w:val="800080" w:themeColor="followedHyperlink"/>
      <w:u w:val="single"/>
    </w:rPr>
  </w:style>
  <w:style w:type="paragraph" w:styleId="NormalWeb">
    <w:name w:val="Normal (Web)"/>
    <w:basedOn w:val="Normal"/>
    <w:uiPriority w:val="99"/>
    <w:unhideWhenUsed/>
    <w:rsid w:val="006B582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04153">
      <w:bodyDiv w:val="1"/>
      <w:marLeft w:val="0"/>
      <w:marRight w:val="0"/>
      <w:marTop w:val="0"/>
      <w:marBottom w:val="0"/>
      <w:divBdr>
        <w:top w:val="none" w:sz="0" w:space="0" w:color="auto"/>
        <w:left w:val="none" w:sz="0" w:space="0" w:color="auto"/>
        <w:bottom w:val="none" w:sz="0" w:space="0" w:color="auto"/>
        <w:right w:val="none" w:sz="0" w:space="0" w:color="auto"/>
      </w:divBdr>
    </w:div>
    <w:div w:id="511723498">
      <w:bodyDiv w:val="1"/>
      <w:marLeft w:val="0"/>
      <w:marRight w:val="0"/>
      <w:marTop w:val="0"/>
      <w:marBottom w:val="0"/>
      <w:divBdr>
        <w:top w:val="none" w:sz="0" w:space="0" w:color="auto"/>
        <w:left w:val="none" w:sz="0" w:space="0" w:color="auto"/>
        <w:bottom w:val="none" w:sz="0" w:space="0" w:color="auto"/>
        <w:right w:val="none" w:sz="0" w:space="0" w:color="auto"/>
      </w:divBdr>
    </w:div>
    <w:div w:id="699941914">
      <w:bodyDiv w:val="1"/>
      <w:marLeft w:val="0"/>
      <w:marRight w:val="0"/>
      <w:marTop w:val="0"/>
      <w:marBottom w:val="0"/>
      <w:divBdr>
        <w:top w:val="none" w:sz="0" w:space="0" w:color="auto"/>
        <w:left w:val="none" w:sz="0" w:space="0" w:color="auto"/>
        <w:bottom w:val="none" w:sz="0" w:space="0" w:color="auto"/>
        <w:right w:val="none" w:sz="0" w:space="0" w:color="auto"/>
      </w:divBdr>
    </w:div>
    <w:div w:id="19581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attle.gov/Documents/Departments/HumanServices/Funding/Bridging%20the%20Gap/Bridging%20the%20Gap%20-%20Innovative%20Solutions%20to%20Homelessness%20LOI.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urray.seattle.gov/wp-content/uploads/2016/10/Bridging-the-Gap-Interim-Action-Pla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attle.gov/Documents/Departments/pathwayshome/ActionPlan.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ingcounty.gov/depts/community-human-services/housing/services/homeless-housing/coordinated-entry/~/media/depts/community-human-services/housing/documents/cea/CEA_Operations_Manual_V2-8,-d-,31,-d-,16.ashx?l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D223807802A4283DB8B135847E1A3" ma:contentTypeVersion="0" ma:contentTypeDescription="Create a new document." ma:contentTypeScope="" ma:versionID="e8171cf68cfe4886fde044156101df9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EBCD4A-CB2D-4FE3-91C1-4AAA0E58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E577B0-F7D4-421F-92DA-F7A586470FC9}">
  <ds:schemaRefs>
    <ds:schemaRef ds:uri="http://schemas.microsoft.com/sharepoint/v3/contenttype/forms"/>
  </ds:schemaRefs>
</ds:datastoreItem>
</file>

<file path=customXml/itemProps3.xml><?xml version="1.0" encoding="utf-8"?>
<ds:datastoreItem xmlns:ds="http://schemas.openxmlformats.org/officeDocument/2006/customXml" ds:itemID="{D10625C0-96DC-4A4B-B845-10294B64E35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MANGIE</dc:creator>
  <cp:lastModifiedBy>Chao, Jenifer</cp:lastModifiedBy>
  <cp:revision>2</cp:revision>
  <cp:lastPrinted>2015-02-11T01:14:00Z</cp:lastPrinted>
  <dcterms:created xsi:type="dcterms:W3CDTF">2017-01-18T22:31:00Z</dcterms:created>
  <dcterms:modified xsi:type="dcterms:W3CDTF">2017-01-18T22:31:00Z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0x010100F42D223807802A4283DB8B135847E1A3</vt:lpwstr>
  </property>
</Properties>
</file>